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F93" w:rsidRPr="00491F93" w:rsidRDefault="00491F93" w:rsidP="00491F93">
      <w:pPr>
        <w:spacing w:beforeLines="50" w:before="120" w:afterLines="50" w:after="120"/>
        <w:ind w:firstLine="720"/>
        <w:jc w:val="center"/>
        <w:outlineLvl w:val="0"/>
        <w:rPr>
          <w:rFonts w:ascii="微软雅黑" w:eastAsia="微软雅黑" w:hAnsi="微软雅黑" w:cs="Times New Roman"/>
          <w:sz w:val="36"/>
          <w:szCs w:val="36"/>
          <w:lang w:val="zh-CN"/>
        </w:rPr>
      </w:pPr>
      <w:bookmarkStart w:id="0" w:name="_Toc168469961"/>
      <w:bookmarkStart w:id="1" w:name="_GoBack"/>
      <w:bookmarkEnd w:id="1"/>
      <w:r w:rsidRPr="00491F93">
        <w:rPr>
          <w:rFonts w:ascii="微软雅黑" w:eastAsia="微软雅黑" w:hAnsi="微软雅黑" w:cs="Times New Roman" w:hint="eastAsia"/>
          <w:sz w:val="36"/>
          <w:szCs w:val="36"/>
          <w:lang w:val="zh-CN"/>
        </w:rPr>
        <w:t>第三章 采购需求</w:t>
      </w:r>
      <w:bookmarkEnd w:id="0"/>
    </w:p>
    <w:p w:rsidR="00491F93" w:rsidRPr="00491F93" w:rsidRDefault="00491F93" w:rsidP="00491F93">
      <w:pPr>
        <w:numPr>
          <w:ilvl w:val="0"/>
          <w:numId w:val="1"/>
        </w:numPr>
        <w:spacing w:before="120" w:after="120" w:line="360" w:lineRule="auto"/>
        <w:outlineLvl w:val="1"/>
        <w:rPr>
          <w:rFonts w:ascii="仿宋" w:eastAsia="仿宋" w:hAnsi="仿宋" w:cs="Times New Roman"/>
          <w:sz w:val="24"/>
          <w:szCs w:val="24"/>
        </w:rPr>
      </w:pPr>
      <w:bookmarkStart w:id="2" w:name="_Toc168469962"/>
      <w:r w:rsidRPr="00491F93">
        <w:rPr>
          <w:rFonts w:ascii="仿宋" w:eastAsia="仿宋" w:hAnsi="仿宋" w:cs="Times New Roman" w:hint="eastAsia"/>
          <w:sz w:val="24"/>
          <w:szCs w:val="24"/>
        </w:rPr>
        <w:t>项目概况</w:t>
      </w:r>
      <w:bookmarkEnd w:id="2"/>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本项目为工程总承包（EPC）项目，项目包括施工图设计及深化、效果图、施工、采购、安装等。项目改造范围为外科1号楼2层所有区域，包括但不限于报告厅、示教室、会议室、走廊、机房、卫生间等。</w:t>
      </w:r>
    </w:p>
    <w:p w:rsidR="00491F93" w:rsidRPr="00491F93" w:rsidRDefault="00491F93" w:rsidP="00491F93">
      <w:pPr>
        <w:spacing w:before="120" w:after="120"/>
        <w:jc w:val="center"/>
        <w:rPr>
          <w:rFonts w:ascii="Arial" w:eastAsia="宋体" w:hAnsi="Arial" w:cs="Arial"/>
          <w:sz w:val="24"/>
          <w:szCs w:val="24"/>
        </w:rPr>
      </w:pPr>
      <w:r w:rsidRPr="00491F93">
        <w:rPr>
          <w:rFonts w:ascii="Arial" w:eastAsia="宋体" w:hAnsi="Arial" w:cs="Arial"/>
          <w:noProof/>
          <w:sz w:val="24"/>
          <w:szCs w:val="24"/>
        </w:rPr>
        <w:drawing>
          <wp:inline distT="0" distB="0" distL="114300" distR="114300" wp14:anchorId="77B114F0" wp14:editId="5F7D402F">
            <wp:extent cx="5751830" cy="3971290"/>
            <wp:effectExtent l="0" t="0" r="127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751830" cy="3971290"/>
                    </a:xfrm>
                    <a:prstGeom prst="rect">
                      <a:avLst/>
                    </a:prstGeom>
                    <a:noFill/>
                    <a:ln>
                      <a:noFill/>
                    </a:ln>
                  </pic:spPr>
                </pic:pic>
              </a:graphicData>
            </a:graphic>
          </wp:inline>
        </w:drawing>
      </w:r>
    </w:p>
    <w:p w:rsidR="00491F93" w:rsidRPr="00491F93" w:rsidRDefault="00491F93" w:rsidP="00491F93">
      <w:pPr>
        <w:spacing w:before="120" w:after="120"/>
        <w:ind w:firstLine="420"/>
        <w:jc w:val="center"/>
        <w:rPr>
          <w:rFonts w:ascii="Times New Roman" w:eastAsia="宋体" w:hAnsi="Times New Roman" w:cs="Times New Roman"/>
          <w:szCs w:val="24"/>
        </w:rPr>
      </w:pPr>
      <w:r w:rsidRPr="00491F93">
        <w:rPr>
          <w:rFonts w:ascii="Times New Roman" w:eastAsia="宋体" w:hAnsi="Times New Roman" w:cs="Times New Roman" w:hint="eastAsia"/>
          <w:szCs w:val="24"/>
        </w:rPr>
        <w:t>原平面图</w:t>
      </w:r>
    </w:p>
    <w:p w:rsidR="00491F93" w:rsidRPr="00491F93" w:rsidRDefault="00491F93" w:rsidP="00491F93">
      <w:pPr>
        <w:numPr>
          <w:ilvl w:val="0"/>
          <w:numId w:val="1"/>
        </w:numPr>
        <w:spacing w:before="120" w:after="120" w:line="360" w:lineRule="auto"/>
        <w:ind w:firstLineChars="200" w:firstLine="480"/>
        <w:outlineLvl w:val="1"/>
        <w:rPr>
          <w:rFonts w:ascii="仿宋" w:eastAsia="仿宋" w:hAnsi="仿宋" w:cs="Times New Roman"/>
          <w:sz w:val="24"/>
          <w:szCs w:val="24"/>
        </w:rPr>
      </w:pPr>
      <w:bookmarkStart w:id="3" w:name="_Toc168469963"/>
      <w:r w:rsidRPr="00491F93">
        <w:rPr>
          <w:rFonts w:ascii="仿宋" w:eastAsia="仿宋" w:hAnsi="仿宋" w:cs="Times New Roman" w:hint="eastAsia"/>
          <w:sz w:val="24"/>
          <w:szCs w:val="24"/>
        </w:rPr>
        <w:t>技术要求</w:t>
      </w:r>
      <w:bookmarkEnd w:id="3"/>
    </w:p>
    <w:p w:rsidR="00491F93" w:rsidRPr="00491F93" w:rsidRDefault="00491F93" w:rsidP="00491F93">
      <w:pPr>
        <w:spacing w:before="120" w:after="120" w:line="360" w:lineRule="auto"/>
        <w:ind w:left="480"/>
        <w:rPr>
          <w:rFonts w:ascii="仿宋" w:eastAsia="仿宋" w:hAnsi="仿宋" w:cs="Times New Roman"/>
          <w:sz w:val="24"/>
          <w:szCs w:val="24"/>
        </w:rPr>
      </w:pPr>
      <w:r w:rsidRPr="00491F93">
        <w:rPr>
          <w:rFonts w:ascii="仿宋" w:eastAsia="仿宋" w:hAnsi="仿宋" w:cs="Times New Roman" w:hint="eastAsia"/>
          <w:sz w:val="24"/>
          <w:szCs w:val="24"/>
        </w:rPr>
        <w:t>（一）设计内容</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改造前需出具相关的设计施工图及改造完成后效果图，大报告厅需要提供改造完成后效果图，改造区域内的地毯、墙面、顶面颜色需要符合整体风格，整体美观大气，符合一流报告厅及会议室的标准。</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大报告厅需重点设计，出具相应设计效果图，舞台造型需进行二次设计，经采购人确认最终效果后再进行装修改造。</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（二）装饰装修</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lastRenderedPageBreak/>
        <w:t>①大报告厅（学术报告厅）</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地面所有地毯、前方主舞台地板及骨架、拆除所有座椅；拆除观众席两侧软包；拆除室内所有灯具、主舞台侧及舞台前方部分天花吊顶；拆除主舞台顶部废弃灯具、管线、设备设施；拆除报告厅正后方控制室等。</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地面装饰</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地面原有地毯后，凿除部分水泥砂浆层，重新做水泥砂浆或者自流平找平，保证与现有的地面同样平整，做防潮处理后重新铺设地毯，地毯为满铺尼龙材质（加厚无纺布底、高密度加强耐磨毯面、可印花及彩印处理、环保VAE胶、厚度不小于6mm、抗菌，防火等级不低于B1级、耐干、湿摩擦≥3-4级，有害物释放量不低于GB18587-2001中A级，颜色及样式以使用部门选定为准）。</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舞台地板后更换为三层实木复合地板，防火等级不低于B1级，环保等级不低于E0级，新铺设地板厚度不小于原有地板，原有地板下方的实木龙骨、胶合板等一并更换，所有新更换的板材均涂刷防火涂料，对舞台下方骨架用钢架加固处理。更换舞台正前方下侧面装饰面板，采用吸音材质面板。</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地毯更换范围还包括进出报告厅前方两个缓冲间，院史馆地毯做保护、不做改动，更换的新地毯需与院史馆地毯接驳美观。</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拆除舞台正前方原有活动台阶，舞台两侧增设钢制楼梯，楼梯上方铺设木地板，并做静音处理，颜色与舞台统一，人员可以从两侧上主舞台。</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更换报告厅南侧走道台阶破损瓷砖。</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墙面装饰</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观众席两侧墙面软包以及进出报告厅两个缓冲间的软包饰面，重新敷设软包，更换后的软包防火等级不低于B1级、环保等级不低于E0级，软包颜色以使用科室选定为准，软包装饰造型保持不变；软包基材采用防火微孔声学棉，饰面采用多孔强透声学布，全频均衡吸音，完成后的软包吸音效果不低于现有效果；软包下方饰面板做吸音处理，更换为冲孔吸音铝板或者槽孔/HPL线阵吸音板，防火等级A级，环保等级不低于E0级，吸音效果不低于现有的效果，颜色以使用科室选定为准（下方原饰面板基层视具体</w:t>
      </w:r>
      <w:r w:rsidRPr="00491F93">
        <w:rPr>
          <w:rFonts w:ascii="仿宋" w:eastAsia="仿宋" w:hAnsi="仿宋" w:cs="Times New Roman" w:hint="eastAsia"/>
          <w:sz w:val="24"/>
          <w:szCs w:val="24"/>
        </w:rPr>
        <w:lastRenderedPageBreak/>
        <w:t>情况是否拆除）。所有门框侧饰面板（门套）视破损程度做重新更换或者清洁刷漆翻新处理。</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所有需更换基层板位置需采用埃特板，防火等级A级，环保等级不低于E0级。</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原舞台两侧屏幕位置饰面板进行拆除更换，新饰面板颜色及样式需与整体装修风格统一，饰面板采用埃特板打底后铺贴冲孔吸音铝板或者槽孔/HPL线阵吸音板。舞台两侧及顶部圆柱形柱子视新旧情况进行翻新或者重新设计更换。</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其他未更换位置墙饰面板做清洁刷漆翻新处理或者根据新旧情况采取更换处理，保证修缮后的墙饰面板颜色协调统一。</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所有踢脚线进行更换，不锈钢材质，与地毯接驳处压实。与报告厅进出口连接位置缓冲间墙面做翻新处理，更换破损软包、破损饰面板视具体情况进行刷漆翻新或者更换。</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顶面装饰</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舞台侧以及讲桌前方发黄吊顶后（原投影位置和面光灯安装位置），重新安装原规格及材质的铝单板，新更换铝板吊顶颜色需与原来一致；其他位置吊顶配合空调移位或者灯具更换进行拆除及恢复，部分位置损坏严重吊顶需进行更换。</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进出大报告厅两个缓冲间吊顶乳胶漆进行翻新。</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机电安装</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拆除并更换室内一切照明灯具、电路、空开、配电箱、开关插座等，重新按照原位置安装配电箱、空开、开关插座，重新更换敷设室内所有电路，所有电路暗敷，采用JDG套管敷设，电线规格不低于WDZC-BYJ。</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更换大报告厅内及进出报告厅两个缓冲间所有的灯具，灯具包括但不限于吊顶、筒灯、装饰等、线条灯、墙面装饰线条灯等，可根据现场实际造型进行灯光二次设计，要求简约美观，观众席侧照明分组控制，全开情况下照度不低于300lux。确保屏幕前灯光可单独控制，保障与会人员正常视觉观感。</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报告厅观众侧灯光及装饰灯光可分开控制，照明可以调节亮度，智能化统一控制面板，根据实际使用需求灯光可以分排、分区域控制，条灯、筒灯、装饰灯可分开控制。</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报告厅南侧外走道位置所有灯具及线路更换。</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lastRenderedPageBreak/>
        <w:t>大报告厅主配电位于报告厅的东南角配电室内，大报告厅主进线由采购人引入至墙壁侧，主进线往后所有施工内容均在成交供应商范围施工范围内。拆除原有配电室内所有配电箱及配电元器件，新安装配电箱控制大报告厅内所有用电设施。报告厅室内用电、报告厅空调用电、预留外接电源分不少于3个配电箱分别控制，新增设的配电箱外面配置一键断开、接通电源按钮装置，可在不打开配电箱门情况下接通、断开配电箱一切用电。</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大报告厅东南角落配电间顶部空调管道需要改道，从旁边绕开配电间，保证配电间顶部无空调管道穿过，空调管道不锈钢材质，改道后重新铺设保温。配电间破损吊顶重新恢复，保证顶面平整。（若空调管道因现场实际情况限制无法改道，需在空调管道下方增设挡水装置，配电箱需配置为防水配电箱，确保供电安全）</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其他</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原报告厅西侧最后方控制室，拆除后根据整体装修标准对地面、墙面进行更新改造，该位置处以后作为观众席，地面铺设地毯，西侧墙面饰面板部分位置需进行修复，采用与原来饰面板同样规格颜色的吸音板修复。</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舞台东北侧（面对舞台，舞台左侧）增设控制室，打通舞台与北侧新增设控制室的墙体，视具体墙体情况增设门（钢质门）或者窗口，控制室墙面重新粉刷乳胶漆翻新，控制室顶面破损吊顶更换，控制室内根据实际使用需求增设电源插座或台阶等。</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报告厅中间增设电动隔帘，可通过隔帘将报告厅分为两部分，电动轨道需固定在顶部混凝土楼板或粱位置处，安装电动轨道过程中需拆除上方吊顶并增设角钢等进行固定，吊顶拆除后需进行原样恢复；电动隔帘前方两侧预留挂横幅的杆子，便于后期会议横幅悬挂。电动隔帘收回时可嵌入至两侧墙面装饰板内部（配合对墙装饰面进行改造）。同时电动窗帘也可以切换成手动开合。</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②会议室2</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并更换地面所有地毯，新铺设地毯采用手工拼花羊毛地毯（羊毛含量不低于40%，厚度不小于6mm、抗菌，防火等级不低于B1级、耐干、湿摩擦≥3-4级，有害物释放量不低于GB18587-2001中A级，颜色及样式以使用部门选定为准），新铺设地毯需做印花造型图案设计，符合高档接待造型；墙面皮质软包全部拆除后更换，更换为皮质软包材质，软包采用高密度海绵，软包防火等级不低于B1级、环保等级不低于E0级。</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lastRenderedPageBreak/>
        <w:t>墙面下方更换安装不锈钢踢脚线，墙边的地毯边缘被踢脚线压住，无翘起情况出现，门口处，为不使地毯被踢起和边缘受损，需用铝合金卡条、锑条固定。</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顶面铲除原有乳胶漆腻子后，重新涂腻子后粉刷乳胶漆，乳胶漆不少于两遍，原有吊顶造型做保留处理，破损吊顶部位需进行加固修复；更换所有灯具，LED材质，显色指数RA不低于82，全开照度不低于350lux。</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墙面所有装饰灯具；更换墙面及地面所有开关插座面板，面板颜色需与整体装修风格统一；整理室内所有裸露线路，将所有凌乱线路规整到线槽内部，线槽根据现场实际情况暗敷或者采用不锈钢或者铝合金材质明敷，整体美观；更换室外配电箱（采用金属材质）以及配电箱内空开等元器件，隐藏性处理室外配电箱，室内增设开关控制室内照明。</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③会议室3</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拆除地面地毯及地板，地面全部更换为地毯，尼龙材质（品质不低于大报告厅内地毯），防火等级不低于B1级，房间功能定位为小型会议室，地毯采用拼色处理、或单一色系，以实际设计选定效果为准。</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墙面所有软包更换，更换皮质软包，新更换后的软包颜色与原来相统一，软包采用高密度海绵，软包防火不低于B1级、环保等级不低于E0级；墙面硬饰面板清洁、刷漆、翻新处理，色差严重位置需更换；墙面下方更换安装不锈钢踢脚线，墙边的地毯边缘被踢脚线压住，无翘起情况出现，其他硬饰面板做清洁翻、打蜡翻新处理；所有踢脚线更换为不锈钢材质。</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会议室东侧墙面重新设计背景造型，做轻钢龙骨，贴埃特板后铺设软包装饰，软包为皮质，具体颜色以使用使用科室选定为准，软包上开凹槽布置协和医院宣传标识，标识样式及材质以采购人确定为准，成交供应商需满足采购人关于宣传标识设计的要求。</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墙面硬饰面板视情况做维修翻新或者更换处理，保证饰面板维修后一致性。</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顶部原饰面板做保留清洁、打蜡、刷漆翻新处理，中间灯光片全部更换，按照原造型更换白色简约灯光片以及灯具，灯具为LED；乳胶漆位置顶部铲除原有乳胶漆腻子，重新涂刷腻子乳胶漆翻新，乳胶漆涂刷不少于两遍；室内所有灯具均进行更换，所有灯具为LED，室内增设开关控制室内照明；室外控制配电柜及空开等元器件更换，隐藏性处理室外配电箱；顶面及墙面所有灯具更换，灯具显色指数RA不低于82。屏幕前灯光</w:t>
      </w:r>
      <w:r w:rsidRPr="00491F93">
        <w:rPr>
          <w:rFonts w:ascii="仿宋" w:eastAsia="仿宋" w:hAnsi="仿宋" w:cs="Times New Roman" w:hint="eastAsia"/>
          <w:sz w:val="24"/>
          <w:szCs w:val="24"/>
        </w:rPr>
        <w:lastRenderedPageBreak/>
        <w:t>可单独控制，保障与会人员正常视觉观感。</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灯光系统参照会议室灯光重新设计。</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墙面开关面板、插座更换，线路规整，明装线全部规整暗敷或者整理至新增的不锈钢或者铝合金线槽内部。</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④会议室4</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并更换地面地毯，尼龙材质（品质不低于大报告厅内地毯），防火等级不低于B1级，房间定位小型会议室；墙面饰面板保留清洁刷漆翻新，不锈钢踢脚线更换；顶面乳胶漆翻新；所有灯具更换，LED材质；会议室门口配电箱及元器件更换，隐藏性处理室外配电箱，要求门口配电箱控制室内电源及照明，室内设置灯光控制开关。确保屏幕前灯光可单独控制，保障与会人员正常视觉观感。</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墙面开关面板、插座更换，线路规整，明装线全部规整至新增的不锈钢线槽内部。</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⑤会议室5</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原有讲台，讲台背后储物房间内部墙面及顶面乳胶漆重新粉刷翻新；讲台处新做背景墙，背景墙采用轻钢龙骨做骨架，埃特板做基层后铺设难燃冰火板，背景墙做隐形门保证整体一致，可通向后方的隔间内，出具相应施工图及效果图。</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室内所有线路及灯具更换，室内增设开关控制室内照明。确保屏幕前灯光可单独控制，保障与会人员正常视觉观感。</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墙面开关面板、插座更换，线路规整，明装线全部规整至新增的不锈钢线槽内部，隐藏性处理室内配电箱。</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⑥示教室2、3</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地面地毯全部更换，地面地毯更换，尼龙材质（品质不低于大报告厅内地毯），防火等级不低于B1级；墙面原有饰面板保留，清洁翻新；顶面吊顶拆除，更换为同材质新吊顶，顶面两侧乳胶漆吊顶重新粉刷翻新；所有灯具更换为LED材质，格栅灯更换为平板灯；线路规整。</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墙面饰面板清洁、刷漆、翻新，掉色严重位置饰面板需更换或者采用其他形式翻新处理。</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lastRenderedPageBreak/>
        <w:t>墙面开关面板、插座更换，线路规整，明装线全部规整至新增的不锈钢线槽内部。确保屏幕前灯光可单独控制，保障与会人员正常视觉观感。</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⑦走道及其他</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更换走道所有灯具，要求采用LED材质；部分位置需根据实际情况增加灯具。</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配合空调改造拆除2楼所有吊顶，吊顶需做保护性拆除，空调改造完成后再重新恢复吊顶，保护性拆除及恢复过程中需保证原吊顶完整，破损铝板吊顶位置需更换。</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2层所有乳胶漆走道顶面全部重新粉刷。</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院史馆顶部存在空调管道，空调更换时需配合拆除吊顶、空调安装完成后再次恢复吊顶；院史馆内部根据使用科室需求对部分宣传内容进行拆除。</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（三）配电</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更换改造区域内2层所有电缆、电线、空开、配电箱、其他配电元器件等，包括但不限于各种照明线路、插座线路、消防供电线路、排烟风机线路、新风风机线路、多媒体设备供电线路等，因原有线路为暗敷，部分位置更换线路时需破拆吊顶板、墙壁饰面板等，更换完成后需对破损位置饰面板及吊顶进行恢复。墙面所有配电箱及里面元器件需进行更换，配电箱做美观性隐藏性处理，要求配电箱与四周墙面颜色接近，具有一致性。要求每个房间配电在门口或者室内配电箱中可单独控制，走道照明及插座等分区域控制。</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更换2层强电井内消防卷帘配电箱，包括相关线缆及配电元器件。</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增设大报告厅配电室至新大报告厅控制室主电缆，线缆不小于10平方。</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楼层主配电箱至每个会议室、示教室门口总配电箱的电缆不低于10平，至会议室3及部分走道的小配电箱进线不低于16平。所有电线规格不低于WDZC-BYJ，所有电缆规格不低于WDZC-YJY。</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所有插座线径不低于4平，照明线径不低于2.5平，铜芯硬线，所有电路设计载流量不高于额定载流量的70%。</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大报告厅内配电箱在箱子外部均配置一键开启、断电按钮，可在不打开配电箱情况下控制箱子内总电源；其他设置在走道的配电箱做隐藏美观性处理，配电箱颜色与周围饰面板相同。</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lastRenderedPageBreak/>
        <w:t>所有房间内部均需设置照明开启开关。</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各个房间根据实际需求增设插座等，更换各个房间内所有开关、插座面板。</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舞台上方灯光由采购人自行实施，成交供应商需根据实际需求提供附近电源接驳点位。</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舞台新增显示屏、音箱等多媒体系统，多媒体系统由采购人自行实施，成交供应商需根据实际需求在附近预留电源接驳点位。</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更换区域内全部消防应急照明、疏散指示牌、安全出口标识等，更换后的需满足现行消防规范，根据现行消防规范重新设计并实施，控制室内增加应急照明，楼层内所有消防电源均接驳至楼层配电房消防配电箱内。</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（四）消防</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所有疏散指示牌、应急照明、安全出口标识进行更换，消防烟感、手报、声光等进行做好保护，装修完成后需进行恢复。</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所有消防供电线路需进行更换，新所有房间的消防线路采用专线，接驳至楼层配电井内部的专用空开。</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（五）卫生间</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男女卫生间故障洁具更换，破损吊顶更换，洗手池附近故障灯具更换，卫生间顶部灯具更换，所有电线更换。洗手台面下方饰面板根据破损情况，清洁翻新或更换。</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更换蹲位及小便池旁边抗倍特隔板。</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（六）空调</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更换2层所有的空调管道、风机盘管、风口等，改造内容包括从水管井冷冻水的供水阀门起至冷冻水回水阀门（包含阀门），包括但不限于管道、阀门、风机盘管、风口、风管、凝结水管等一切附属设施更换。报告厅舞台旁配电室顶部空调管道改道，避开下方电路，确保安全（或根据现场实际情况增设电箱防水相关设施，包括空调管道下方增设接水装置，吊顶做防水处理，配电箱增设防水设施等）。</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维修报告厅新风管道，更换过滤网、破损软接等，更换故障阀门，保证新风管道通畅。</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lastRenderedPageBreak/>
        <w:t>空调更换过程中需要拆除吊顶、部分墙面等，拆除及恢复均由成交供应商完成，若拆除更换过程中存在吊顶或者灯具、线路、墙面装饰损坏，成交供应商需进行恢复，保证外观崭新，各系统运行正常。</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参考清单如下（</w:t>
      </w:r>
      <w:r w:rsidRPr="00491F93">
        <w:rPr>
          <w:rFonts w:ascii="仿宋" w:eastAsia="仿宋" w:hAnsi="仿宋" w:cs="Times New Roman" w:hint="eastAsia"/>
          <w:b/>
          <w:sz w:val="24"/>
          <w:szCs w:val="24"/>
        </w:rPr>
        <w:t>该清单数量仅作参考，不做任何依据，具体工程量以实际现场踏勘为准，供应商报价视为完成所有空调相关配套改造内容</w:t>
      </w:r>
      <w:r w:rsidRPr="00491F93">
        <w:rPr>
          <w:rFonts w:ascii="仿宋" w:eastAsia="仿宋" w:hAnsi="仿宋" w:cs="Times New Roman" w:hint="eastAsia"/>
          <w:sz w:val="24"/>
          <w:szCs w:val="24"/>
        </w:rPr>
        <w:t>）。</w:t>
      </w:r>
    </w:p>
    <w:tbl>
      <w:tblPr>
        <w:tblpPr w:leftFromText="180" w:rightFromText="180" w:vertAnchor="text" w:horzAnchor="page" w:tblpX="1193" w:tblpY="914"/>
        <w:tblOverlap w:val="never"/>
        <w:tblW w:w="9556" w:type="dxa"/>
        <w:tblLayout w:type="fixed"/>
        <w:tblLook w:val="04A0" w:firstRow="1" w:lastRow="0" w:firstColumn="1" w:lastColumn="0" w:noHBand="0" w:noVBand="1"/>
      </w:tblPr>
      <w:tblGrid>
        <w:gridCol w:w="749"/>
        <w:gridCol w:w="1656"/>
        <w:gridCol w:w="709"/>
        <w:gridCol w:w="709"/>
        <w:gridCol w:w="3974"/>
        <w:gridCol w:w="1759"/>
      </w:tblGrid>
      <w:tr w:rsidR="00491F93" w:rsidRPr="00491F93" w:rsidTr="00585D0A">
        <w:trPr>
          <w:trHeight w:val="360"/>
          <w:tblHeader/>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hint="eastAsia"/>
                <w:sz w:val="24"/>
                <w:szCs w:val="24"/>
              </w:rPr>
              <w:t>序号</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主材</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单位</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数量</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参数要求</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hint="eastAsia"/>
                <w:sz w:val="24"/>
                <w:szCs w:val="24"/>
              </w:rPr>
              <w:t>参考</w:t>
            </w:r>
            <w:r w:rsidRPr="00491F93">
              <w:rPr>
                <w:rFonts w:ascii="仿宋" w:eastAsia="仿宋" w:hAnsi="仿宋" w:cs="Times New Roman"/>
                <w:sz w:val="24"/>
                <w:szCs w:val="24"/>
              </w:rPr>
              <w:t>品牌</w:t>
            </w:r>
          </w:p>
        </w:tc>
      </w:tr>
      <w:tr w:rsidR="00491F93" w:rsidRPr="00491F93" w:rsidTr="00585D0A">
        <w:trPr>
          <w:trHeight w:val="1536"/>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风机盘管</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4</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型号:500型，带回风箱</w:t>
            </w:r>
            <w:r w:rsidRPr="00491F93">
              <w:rPr>
                <w:rFonts w:ascii="仿宋" w:eastAsia="仿宋" w:hAnsi="仿宋" w:cs="Times New Roman"/>
                <w:sz w:val="24"/>
                <w:szCs w:val="24"/>
              </w:rPr>
              <w:br/>
              <w:t>安装形式:吊顶安装</w:t>
            </w:r>
            <w:r w:rsidRPr="00491F93">
              <w:rPr>
                <w:rFonts w:ascii="仿宋" w:eastAsia="仿宋" w:hAnsi="仿宋" w:cs="Times New Roman"/>
                <w:sz w:val="24"/>
                <w:szCs w:val="24"/>
              </w:rPr>
              <w:br/>
              <w:t>减振器、支架形式、材质:吊杆4个，橡胶减震垫2mm，M12膨胀螺栓</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天加、特灵、约克或同档次</w:t>
            </w:r>
          </w:p>
        </w:tc>
      </w:tr>
      <w:tr w:rsidR="00491F93" w:rsidRPr="00491F93" w:rsidTr="00585D0A">
        <w:trPr>
          <w:trHeight w:val="852"/>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2</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风机盘管</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6</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型号:600型，带回风箱</w:t>
            </w:r>
            <w:r w:rsidRPr="00491F93">
              <w:rPr>
                <w:rFonts w:ascii="仿宋" w:eastAsia="仿宋" w:hAnsi="仿宋" w:cs="Times New Roman"/>
                <w:sz w:val="24"/>
                <w:szCs w:val="24"/>
              </w:rPr>
              <w:br/>
              <w:t>安装形式:吊顶安装</w:t>
            </w:r>
            <w:r w:rsidRPr="00491F93">
              <w:rPr>
                <w:rFonts w:ascii="仿宋" w:eastAsia="仿宋" w:hAnsi="仿宋" w:cs="Times New Roman"/>
                <w:sz w:val="24"/>
                <w:szCs w:val="24"/>
              </w:rPr>
              <w:br/>
              <w:t>减振器、支架形式、材质:吊杆4个，橡胶减震垫2mm，M12膨胀螺栓</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天加、特灵、约克或同档次</w:t>
            </w:r>
          </w:p>
        </w:tc>
      </w:tr>
      <w:tr w:rsidR="00491F93" w:rsidRPr="00491F93" w:rsidTr="00585D0A">
        <w:trPr>
          <w:trHeight w:val="864"/>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3</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风机盘管</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14</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型号:800型，带回风箱</w:t>
            </w:r>
            <w:r w:rsidRPr="00491F93">
              <w:rPr>
                <w:rFonts w:ascii="仿宋" w:eastAsia="仿宋" w:hAnsi="仿宋" w:cs="Times New Roman"/>
                <w:sz w:val="24"/>
                <w:szCs w:val="24"/>
              </w:rPr>
              <w:br/>
              <w:t>安装形式:吊顶安装</w:t>
            </w:r>
            <w:r w:rsidRPr="00491F93">
              <w:rPr>
                <w:rFonts w:ascii="仿宋" w:eastAsia="仿宋" w:hAnsi="仿宋" w:cs="Times New Roman"/>
                <w:sz w:val="24"/>
                <w:szCs w:val="24"/>
              </w:rPr>
              <w:br/>
              <w:t>减振器、支架形式、材质:吊杆4个，橡胶减震垫2mm，M12膨胀螺栓</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天加、特灵、约克或同档次</w:t>
            </w:r>
          </w:p>
        </w:tc>
      </w:tr>
      <w:tr w:rsidR="00491F93" w:rsidRPr="00491F93" w:rsidTr="00585D0A">
        <w:trPr>
          <w:trHeight w:val="888"/>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4</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风机盘管</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9</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型号:1000型，带回风箱</w:t>
            </w:r>
            <w:r w:rsidRPr="00491F93">
              <w:rPr>
                <w:rFonts w:ascii="仿宋" w:eastAsia="仿宋" w:hAnsi="仿宋" w:cs="Times New Roman"/>
                <w:sz w:val="24"/>
                <w:szCs w:val="24"/>
              </w:rPr>
              <w:br/>
              <w:t>安装形式:吊顶安装</w:t>
            </w:r>
            <w:r w:rsidRPr="00491F93">
              <w:rPr>
                <w:rFonts w:ascii="仿宋" w:eastAsia="仿宋" w:hAnsi="仿宋" w:cs="Times New Roman"/>
                <w:sz w:val="24"/>
                <w:szCs w:val="24"/>
              </w:rPr>
              <w:br/>
              <w:t>减振器、支架形式、材质:吊杆4个，橡胶减震垫2mm，M12膨胀螺栓</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天加、特灵、约克或同档次</w:t>
            </w:r>
          </w:p>
        </w:tc>
      </w:tr>
      <w:tr w:rsidR="00491F93" w:rsidRPr="00491F93" w:rsidTr="00585D0A">
        <w:trPr>
          <w:trHeight w:val="828"/>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5</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风机盘管</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10</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型号:1200型，带回风箱</w:t>
            </w:r>
            <w:r w:rsidRPr="00491F93">
              <w:rPr>
                <w:rFonts w:ascii="仿宋" w:eastAsia="仿宋" w:hAnsi="仿宋" w:cs="Times New Roman"/>
                <w:sz w:val="24"/>
                <w:szCs w:val="24"/>
              </w:rPr>
              <w:br/>
              <w:t>安装形式:吊顶安装</w:t>
            </w:r>
            <w:r w:rsidRPr="00491F93">
              <w:rPr>
                <w:rFonts w:ascii="仿宋" w:eastAsia="仿宋" w:hAnsi="仿宋" w:cs="Times New Roman"/>
                <w:sz w:val="24"/>
                <w:szCs w:val="24"/>
              </w:rPr>
              <w:br/>
            </w:r>
            <w:r w:rsidRPr="00491F93">
              <w:rPr>
                <w:rFonts w:ascii="仿宋" w:eastAsia="仿宋" w:hAnsi="仿宋" w:cs="Times New Roman"/>
                <w:sz w:val="24"/>
                <w:szCs w:val="24"/>
              </w:rPr>
              <w:lastRenderedPageBreak/>
              <w:t>减振器、支架形式、材质:吊杆4个，橡胶减震垫2mm，M12膨胀螺栓</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lastRenderedPageBreak/>
              <w:t>天加、特灵、约克或同档次</w:t>
            </w:r>
          </w:p>
        </w:tc>
      </w:tr>
      <w:tr w:rsidR="00491F93" w:rsidRPr="00491F93" w:rsidTr="00585D0A">
        <w:trPr>
          <w:trHeight w:val="570"/>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lastRenderedPageBreak/>
              <w:t>6</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回风口（带滤网）</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个</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43</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制作工艺及性能满足国家规范标准</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满足国标要求</w:t>
            </w:r>
          </w:p>
        </w:tc>
      </w:tr>
      <w:tr w:rsidR="00491F93" w:rsidRPr="00491F93" w:rsidTr="00585D0A">
        <w:trPr>
          <w:trHeight w:val="570"/>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7</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出风口、散流器</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个</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38</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制作工艺及性能满足国家规范标准</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满足国标要求</w:t>
            </w:r>
          </w:p>
        </w:tc>
      </w:tr>
      <w:tr w:rsidR="00491F93" w:rsidRPr="00491F93" w:rsidTr="00585D0A">
        <w:trPr>
          <w:trHeight w:val="1380"/>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9</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镀锌钢板</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m2</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120</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1.安装部位:通风管道</w:t>
            </w:r>
            <w:r w:rsidRPr="00491F93">
              <w:rPr>
                <w:rFonts w:ascii="仿宋" w:eastAsia="仿宋" w:hAnsi="仿宋" w:cs="Times New Roman"/>
                <w:sz w:val="24"/>
                <w:szCs w:val="24"/>
              </w:rPr>
              <w:br/>
              <w:t>2.材质:镀锌钢板</w:t>
            </w:r>
            <w:r w:rsidRPr="00491F93">
              <w:rPr>
                <w:rFonts w:ascii="仿宋" w:eastAsia="仿宋" w:hAnsi="仿宋" w:cs="Times New Roman"/>
                <w:sz w:val="24"/>
                <w:szCs w:val="24"/>
              </w:rPr>
              <w:br/>
              <w:t>3.形状:矩形</w:t>
            </w:r>
            <w:r w:rsidRPr="00491F93">
              <w:rPr>
                <w:rFonts w:ascii="仿宋" w:eastAsia="仿宋" w:hAnsi="仿宋" w:cs="Times New Roman"/>
                <w:sz w:val="24"/>
                <w:szCs w:val="24"/>
              </w:rPr>
              <w:br/>
              <w:t>4.规格:≤1000</w:t>
            </w:r>
            <w:r w:rsidRPr="00491F93">
              <w:rPr>
                <w:rFonts w:ascii="仿宋" w:eastAsia="仿宋" w:hAnsi="仿宋" w:cs="Times New Roman"/>
                <w:sz w:val="24"/>
                <w:szCs w:val="24"/>
              </w:rPr>
              <w:br/>
              <w:t>5.板材厚度:≥δ1.0</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满足国标要求</w:t>
            </w:r>
          </w:p>
        </w:tc>
      </w:tr>
      <w:tr w:rsidR="00491F93" w:rsidRPr="00491F93" w:rsidTr="00585D0A">
        <w:trPr>
          <w:trHeight w:val="1200"/>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10</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保温材料：柔性泡沫橡塑B1级保温</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m3</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12</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制作工艺及性能满足国家规范标准</w:t>
            </w:r>
            <w:r w:rsidRPr="00491F93">
              <w:rPr>
                <w:rFonts w:ascii="仿宋" w:eastAsia="仿宋" w:hAnsi="仿宋" w:cs="Times New Roman"/>
                <w:sz w:val="24"/>
                <w:szCs w:val="24"/>
              </w:rPr>
              <w:br/>
              <w:t>冷冻管：管径≤DN50，保温厚度≥30mm，DN65≤管径≤DN100，保温厚度≥40mm。冷凝管：管径DN≤DN50，保温厚度≥15mm</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品牌：华美、福乐斯、赢胜或同档次</w:t>
            </w:r>
          </w:p>
        </w:tc>
      </w:tr>
      <w:tr w:rsidR="00491F93" w:rsidRPr="00491F93" w:rsidTr="00585D0A">
        <w:trPr>
          <w:trHeight w:val="570"/>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11</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风口软接帆布</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m2</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100</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制作工艺及性能满足国家规范标准</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满足国标要求</w:t>
            </w:r>
          </w:p>
        </w:tc>
      </w:tr>
      <w:tr w:rsidR="00491F93" w:rsidRPr="00491F93" w:rsidTr="00585D0A">
        <w:trPr>
          <w:trHeight w:val="570"/>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12</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冷凝水管：塑料PVC管</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m</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270</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1.材质、规格:加厚硬质PVC管</w:t>
            </w:r>
            <w:r w:rsidRPr="00491F93">
              <w:rPr>
                <w:rFonts w:ascii="仿宋" w:eastAsia="仿宋" w:hAnsi="仿宋" w:cs="Times New Roman"/>
                <w:sz w:val="24"/>
                <w:szCs w:val="24"/>
              </w:rPr>
              <w:br/>
              <w:t>2.连接形式:粘接连接</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品牌：金牛、联塑、伟星或同档次</w:t>
            </w:r>
          </w:p>
        </w:tc>
      </w:tr>
      <w:tr w:rsidR="00491F93" w:rsidRPr="00491F93" w:rsidTr="00585D0A">
        <w:trPr>
          <w:trHeight w:val="1692"/>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13</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风盘支管：不锈钢管</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m</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260</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1.安装部位:空调供回水管</w:t>
            </w:r>
            <w:r w:rsidRPr="00491F93">
              <w:rPr>
                <w:rFonts w:ascii="仿宋" w:eastAsia="仿宋" w:hAnsi="仿宋" w:cs="Times New Roman"/>
                <w:sz w:val="24"/>
                <w:szCs w:val="24"/>
              </w:rPr>
              <w:br/>
              <w:t>2.介质:空调水</w:t>
            </w:r>
            <w:r w:rsidRPr="00491F93">
              <w:rPr>
                <w:rFonts w:ascii="仿宋" w:eastAsia="仿宋" w:hAnsi="仿宋" w:cs="Times New Roman"/>
                <w:sz w:val="24"/>
                <w:szCs w:val="24"/>
              </w:rPr>
              <w:br/>
              <w:t>3.规格、压力等级:304国标不锈钢钢管，压力：≥1.6Mpa 壁厚≥3mm</w:t>
            </w:r>
            <w:r w:rsidRPr="00491F93">
              <w:rPr>
                <w:rFonts w:ascii="仿宋" w:eastAsia="仿宋" w:hAnsi="仿宋" w:cs="Times New Roman"/>
                <w:sz w:val="24"/>
                <w:szCs w:val="24"/>
              </w:rPr>
              <w:br/>
              <w:t>4.连接形式:焊接连接</w:t>
            </w:r>
            <w:r w:rsidRPr="00491F93">
              <w:rPr>
                <w:rFonts w:ascii="仿宋" w:eastAsia="仿宋" w:hAnsi="仿宋" w:cs="Times New Roman"/>
                <w:sz w:val="24"/>
                <w:szCs w:val="24"/>
              </w:rPr>
              <w:br/>
              <w:t>5.压力试验及吹、洗设计要求:水压</w:t>
            </w:r>
            <w:r w:rsidRPr="00491F93">
              <w:rPr>
                <w:rFonts w:ascii="仿宋" w:eastAsia="仿宋" w:hAnsi="仿宋" w:cs="Times New Roman"/>
                <w:sz w:val="24"/>
                <w:szCs w:val="24"/>
              </w:rPr>
              <w:lastRenderedPageBreak/>
              <w:t>试验及水冲洗</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lastRenderedPageBreak/>
              <w:t>满足国标要求</w:t>
            </w:r>
          </w:p>
        </w:tc>
      </w:tr>
      <w:tr w:rsidR="00491F93" w:rsidRPr="00491F93" w:rsidTr="00585D0A">
        <w:trPr>
          <w:trHeight w:val="2328"/>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lastRenderedPageBreak/>
              <w:t>14</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空调水平主管及支管：不锈钢管</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m</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550</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1.安装部位:空调供回水管</w:t>
            </w:r>
            <w:r w:rsidRPr="00491F93">
              <w:rPr>
                <w:rFonts w:ascii="仿宋" w:eastAsia="仿宋" w:hAnsi="仿宋" w:cs="Times New Roman"/>
                <w:sz w:val="24"/>
                <w:szCs w:val="24"/>
              </w:rPr>
              <w:br/>
              <w:t>2.介质:空调水</w:t>
            </w:r>
            <w:r w:rsidRPr="00491F93">
              <w:rPr>
                <w:rFonts w:ascii="仿宋" w:eastAsia="仿宋" w:hAnsi="仿宋" w:cs="Times New Roman"/>
                <w:sz w:val="24"/>
                <w:szCs w:val="24"/>
              </w:rPr>
              <w:br/>
              <w:t>3.规格、压力等级:304国标不锈钢钢管，压力：≥1.6Mpa 壁厚≥3mm</w:t>
            </w:r>
            <w:r w:rsidRPr="00491F93">
              <w:rPr>
                <w:rFonts w:ascii="仿宋" w:eastAsia="仿宋" w:hAnsi="仿宋" w:cs="Times New Roman"/>
                <w:sz w:val="24"/>
                <w:szCs w:val="24"/>
              </w:rPr>
              <w:br/>
              <w:t>4.连接形式:焊接连接</w:t>
            </w:r>
            <w:r w:rsidRPr="00491F93">
              <w:rPr>
                <w:rFonts w:ascii="仿宋" w:eastAsia="仿宋" w:hAnsi="仿宋" w:cs="Times New Roman"/>
                <w:sz w:val="24"/>
                <w:szCs w:val="24"/>
              </w:rPr>
              <w:br/>
              <w:t>5.压力试验及吹、洗设计要求:水压试验及水冲洗</w:t>
            </w:r>
            <w:r w:rsidRPr="00491F93">
              <w:rPr>
                <w:rFonts w:ascii="仿宋" w:eastAsia="仿宋" w:hAnsi="仿宋" w:cs="Times New Roman"/>
                <w:sz w:val="24"/>
                <w:szCs w:val="24"/>
              </w:rPr>
              <w:br/>
              <w:t>6.施工范围：水平主管层阀后所有空调管道</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满足国标要求</w:t>
            </w:r>
          </w:p>
        </w:tc>
      </w:tr>
      <w:tr w:rsidR="00491F93" w:rsidRPr="00491F93" w:rsidTr="00585D0A">
        <w:trPr>
          <w:trHeight w:val="1800"/>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15</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金属软接头、电动两通阀、Y型过滤器、闸阀、控制面板等辅材</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套</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43</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制作工艺及性能满足国家规范标准</w:t>
            </w:r>
            <w:r w:rsidRPr="00491F93">
              <w:rPr>
                <w:rFonts w:ascii="仿宋" w:eastAsia="仿宋" w:hAnsi="仿宋" w:cs="Times New Roman"/>
                <w:sz w:val="24"/>
                <w:szCs w:val="24"/>
              </w:rPr>
              <w:br/>
              <w:t>压力：≥1.6Mpa</w:t>
            </w:r>
          </w:p>
          <w:p w:rsidR="00491F93" w:rsidRPr="00491F93" w:rsidRDefault="00491F93" w:rsidP="00491F93">
            <w:pPr>
              <w:spacing w:before="120"/>
              <w:rPr>
                <w:rFonts w:ascii="Arial" w:eastAsia="宋体" w:hAnsi="Arial" w:cs="Arial"/>
                <w:sz w:val="24"/>
                <w:szCs w:val="24"/>
              </w:rPr>
            </w:pPr>
            <w:r w:rsidRPr="00491F93">
              <w:rPr>
                <w:rFonts w:ascii="仿宋" w:eastAsia="仿宋" w:hAnsi="仿宋" w:cs="Arial"/>
                <w:sz w:val="24"/>
                <w:szCs w:val="24"/>
              </w:rPr>
              <w:t>控制面板：液晶面板，与风盘配套同品牌</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br/>
              <w:t>阀门品牌：埃美柯、冠龙、标一或同档次</w:t>
            </w:r>
            <w:r w:rsidRPr="00491F93">
              <w:rPr>
                <w:rFonts w:ascii="仿宋" w:eastAsia="仿宋" w:hAnsi="仿宋" w:cs="Times New Roman"/>
                <w:sz w:val="24"/>
                <w:szCs w:val="24"/>
              </w:rPr>
              <w:br/>
              <w:t>其他满足国标要求</w:t>
            </w:r>
          </w:p>
        </w:tc>
      </w:tr>
      <w:tr w:rsidR="00491F93" w:rsidRPr="00491F93" w:rsidTr="00585D0A">
        <w:trPr>
          <w:trHeight w:val="255"/>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16</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电缆：风机盘管控制线</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m</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1000</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制作工艺及性能满足国家规范标准</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满足国标要求</w:t>
            </w:r>
          </w:p>
        </w:tc>
      </w:tr>
      <w:tr w:rsidR="00491F93" w:rsidRPr="00491F93" w:rsidTr="00585D0A">
        <w:trPr>
          <w:trHeight w:val="46"/>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17</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风盘、阀门、管道、风口拆除、安装、调试，成品保护、垃圾清理、施工措施费等</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项</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sz w:val="24"/>
                <w:szCs w:val="24"/>
              </w:rPr>
              <w:t>1</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p>
        </w:tc>
      </w:tr>
      <w:tr w:rsidR="00491F93" w:rsidRPr="00491F93" w:rsidTr="00585D0A">
        <w:trPr>
          <w:trHeight w:val="972"/>
        </w:trPr>
        <w:tc>
          <w:tcPr>
            <w:tcW w:w="74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hint="eastAsia"/>
                <w:sz w:val="24"/>
                <w:szCs w:val="24"/>
              </w:rPr>
              <w:lastRenderedPageBreak/>
              <w:t>18</w:t>
            </w:r>
          </w:p>
        </w:tc>
        <w:tc>
          <w:tcPr>
            <w:tcW w:w="165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hint="eastAsia"/>
                <w:sz w:val="24"/>
                <w:szCs w:val="24"/>
              </w:rPr>
              <w:t>大报告厅配电间顶部空调管路改道</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hint="eastAsia"/>
                <w:sz w:val="24"/>
                <w:szCs w:val="24"/>
              </w:rPr>
              <w:t>项</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hint="eastAsia"/>
                <w:sz w:val="24"/>
                <w:szCs w:val="24"/>
              </w:rPr>
              <w:t>1</w:t>
            </w:r>
          </w:p>
        </w:tc>
        <w:tc>
          <w:tcPr>
            <w:tcW w:w="39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r w:rsidRPr="00491F93">
              <w:rPr>
                <w:rFonts w:ascii="仿宋" w:eastAsia="仿宋" w:hAnsi="仿宋" w:cs="Times New Roman" w:hint="eastAsia"/>
                <w:sz w:val="24"/>
                <w:szCs w:val="24"/>
              </w:rPr>
              <w:t>截断原空调管道，从配电间周围重新布置空调管道，重新敷设保温，确保配电间上方无管道。（或根据现场实际情况增设电箱防水相关设施，包括空调管道下方增设接水装置，吊顶做防水处理，配电箱增设防水设施等）</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491F93" w:rsidRPr="00491F93" w:rsidRDefault="00491F93" w:rsidP="00491F93">
            <w:pPr>
              <w:spacing w:before="120" w:after="120" w:line="360" w:lineRule="auto"/>
              <w:rPr>
                <w:rFonts w:ascii="仿宋" w:eastAsia="仿宋" w:hAnsi="仿宋" w:cs="Times New Roman"/>
                <w:sz w:val="24"/>
                <w:szCs w:val="24"/>
              </w:rPr>
            </w:pPr>
          </w:p>
        </w:tc>
      </w:tr>
    </w:tbl>
    <w:p w:rsidR="00491F93" w:rsidRPr="00491F93" w:rsidRDefault="00491F93" w:rsidP="00491F93">
      <w:pPr>
        <w:spacing w:before="120" w:after="120" w:line="360" w:lineRule="auto"/>
        <w:ind w:firstLineChars="200" w:firstLine="480"/>
        <w:rPr>
          <w:rFonts w:ascii="仿宋" w:eastAsia="仿宋" w:hAnsi="仿宋" w:cs="Times New Roman"/>
          <w:sz w:val="24"/>
          <w:szCs w:val="24"/>
        </w:rPr>
      </w:pP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（七）其他</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装修过程中做好网络、监控、消防、运营商等弱电线缆保护。</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拆除大报告厅内所有会议椅子，部分椅子需翻新后安装至会议室及示教室内部（翻新由采购人自行完成），成交供应商需配合拆除、安装定位。</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拆除示教室及会议室内所有椅子，根据拆除后椅子情况决定弃置或者重新利用。</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装修过程中需拆除室内原有家具、会议桌椅等，保护性拆卸后地毯重更新铺设完成需重新组装。</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房间内部所有多媒体设备需进行保护性拆除，后期根据实际设备完整情况进行恢复。</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多媒体设备及网络敷设过程中存在走线情况，可能存在破损吊顶及墙面等，所有布线走完后需对吊顶及墙面、进行恢复。</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房间内弱电设备（监控、交换机、机柜等）需做好保护。</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拆除后全部建筑垃圾运至自行运至院外处理。</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更换空调管道及风机盘管过程中可能存在损坏吊顶及墙面情况，相关吊顶及墙面破拆、空调安装完成后的恢复均由成交供应商负责。</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大报告厅显示屏安装；舞台顶部氛围灯光及其他示教室、会议室多媒体设备安装；网络网线安装；无线AP面板安装；沙发、会议椅、剧院椅采购由采购人自行实施，成交供应商需配合采购人完成上述内容</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质量标准：设计达到设计规范标准，施工达到建筑工程施工质量验收规范合格标准。</w:t>
      </w:r>
    </w:p>
    <w:p w:rsidR="00491F93" w:rsidRPr="00491F93" w:rsidRDefault="00491F93" w:rsidP="00491F93">
      <w:pPr>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（八）主材品牌推荐</w:t>
      </w:r>
    </w:p>
    <w:tbl>
      <w:tblPr>
        <w:tblStyle w:val="a7"/>
        <w:tblW w:w="0" w:type="auto"/>
        <w:jc w:val="center"/>
        <w:tblLook w:val="04A0" w:firstRow="1" w:lastRow="0" w:firstColumn="1" w:lastColumn="0" w:noHBand="0" w:noVBand="1"/>
      </w:tblPr>
      <w:tblGrid>
        <w:gridCol w:w="1111"/>
        <w:gridCol w:w="1397"/>
        <w:gridCol w:w="3180"/>
        <w:gridCol w:w="2831"/>
      </w:tblGrid>
      <w:tr w:rsidR="00491F93" w:rsidRPr="00491F93" w:rsidTr="00585D0A">
        <w:trPr>
          <w:tblHeader/>
          <w:jc w:val="center"/>
        </w:trPr>
        <w:tc>
          <w:tcPr>
            <w:tcW w:w="1111" w:type="dxa"/>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lastRenderedPageBreak/>
              <w:t>序号</w:t>
            </w:r>
          </w:p>
        </w:tc>
        <w:tc>
          <w:tcPr>
            <w:tcW w:w="1397" w:type="dxa"/>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主材</w:t>
            </w:r>
          </w:p>
        </w:tc>
        <w:tc>
          <w:tcPr>
            <w:tcW w:w="3180" w:type="dxa"/>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规格型号</w:t>
            </w:r>
          </w:p>
        </w:tc>
        <w:tc>
          <w:tcPr>
            <w:tcW w:w="2831" w:type="dxa"/>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推荐品牌</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1</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地毯</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山花、海马、圣瓦伦丁</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2</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灯具</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LED</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雷士、欧普、飞利浦</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3</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乳胶漆</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品质不低于立邦金装五合一；多乐士金装净味五合一</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立邦、多乐士、都芳</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4</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空开</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规格不低于施耐德A9系列；西门子5SY系列</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施耐德、海格、西门子</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5</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电缆、电线</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飞鹤、公牛、起帆</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6</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开关、插座</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一体大板</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公牛、罗格朗、西门子</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7</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铝扣板</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厚度不低于0.8mm</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银飞、欧普</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8</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风机盘管</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sz w:val="24"/>
                <w:szCs w:val="24"/>
              </w:rPr>
              <w:t>天加、特灵、约克</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9</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空调管道保温</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sz w:val="24"/>
                <w:szCs w:val="24"/>
              </w:rPr>
              <w:t>华美、福乐斯、赢胜</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10</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排水管、冷凝水管</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PVC</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sz w:val="24"/>
                <w:szCs w:val="24"/>
              </w:rPr>
              <w:t>金牛、联塑、伟星</w:t>
            </w:r>
          </w:p>
        </w:tc>
      </w:tr>
      <w:tr w:rsidR="00491F93" w:rsidRPr="00491F93" w:rsidTr="00585D0A">
        <w:trPr>
          <w:jc w:val="center"/>
        </w:trPr>
        <w:tc>
          <w:tcPr>
            <w:tcW w:w="111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11</w:t>
            </w:r>
          </w:p>
        </w:tc>
        <w:tc>
          <w:tcPr>
            <w:tcW w:w="1397"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阀门</w:t>
            </w:r>
          </w:p>
        </w:tc>
        <w:tc>
          <w:tcPr>
            <w:tcW w:w="3180"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hint="eastAsia"/>
                <w:sz w:val="24"/>
                <w:szCs w:val="24"/>
              </w:rPr>
              <w:t>-</w:t>
            </w:r>
          </w:p>
        </w:tc>
        <w:tc>
          <w:tcPr>
            <w:tcW w:w="2831" w:type="dxa"/>
            <w:vAlign w:val="center"/>
          </w:tcPr>
          <w:p w:rsidR="00491F93" w:rsidRPr="00491F93" w:rsidRDefault="00491F93" w:rsidP="00491F93">
            <w:pPr>
              <w:spacing w:before="120" w:after="120" w:line="360" w:lineRule="auto"/>
              <w:jc w:val="center"/>
              <w:rPr>
                <w:rFonts w:ascii="仿宋" w:eastAsia="仿宋" w:hAnsi="仿宋"/>
                <w:sz w:val="24"/>
                <w:szCs w:val="24"/>
              </w:rPr>
            </w:pPr>
            <w:r w:rsidRPr="00491F93">
              <w:rPr>
                <w:rFonts w:ascii="仿宋" w:eastAsia="仿宋" w:hAnsi="仿宋"/>
                <w:sz w:val="24"/>
                <w:szCs w:val="24"/>
              </w:rPr>
              <w:t>埃美柯、冠龙、标一</w:t>
            </w:r>
          </w:p>
        </w:tc>
      </w:tr>
    </w:tbl>
    <w:p w:rsidR="00491F93" w:rsidRPr="00491F93" w:rsidRDefault="00491F93" w:rsidP="00491F93">
      <w:pPr>
        <w:rPr>
          <w:rFonts w:ascii="Times New Roman" w:eastAsia="宋体" w:hAnsi="Times New Roman" w:cs="Times New Roman"/>
          <w:szCs w:val="24"/>
        </w:rPr>
      </w:pPr>
    </w:p>
    <w:p w:rsidR="00491F93" w:rsidRPr="00491F93" w:rsidRDefault="00491F93" w:rsidP="00491F93">
      <w:pPr>
        <w:spacing w:before="120"/>
        <w:rPr>
          <w:rFonts w:ascii="Arial" w:eastAsia="宋体" w:hAnsi="Arial" w:cs="Arial"/>
          <w:sz w:val="24"/>
          <w:szCs w:val="24"/>
        </w:rPr>
      </w:pPr>
    </w:p>
    <w:p w:rsidR="00491F93" w:rsidRPr="00491F93" w:rsidRDefault="00491F93" w:rsidP="00491F93">
      <w:pPr>
        <w:numPr>
          <w:ilvl w:val="0"/>
          <w:numId w:val="1"/>
        </w:numPr>
        <w:spacing w:before="120" w:after="120" w:line="360" w:lineRule="auto"/>
        <w:ind w:firstLineChars="200" w:firstLine="480"/>
        <w:outlineLvl w:val="1"/>
        <w:rPr>
          <w:rFonts w:ascii="仿宋" w:eastAsia="仿宋" w:hAnsi="仿宋" w:cs="Times New Roman"/>
          <w:sz w:val="24"/>
          <w:szCs w:val="24"/>
        </w:rPr>
      </w:pPr>
      <w:bookmarkStart w:id="4" w:name="_Toc168469964"/>
      <w:r w:rsidRPr="00491F93">
        <w:rPr>
          <w:rFonts w:ascii="仿宋" w:eastAsia="仿宋" w:hAnsi="仿宋" w:cs="Times New Roman" w:hint="eastAsia"/>
          <w:sz w:val="24"/>
          <w:szCs w:val="24"/>
        </w:rPr>
        <w:t>商务要求</w:t>
      </w:r>
      <w:bookmarkEnd w:id="4"/>
    </w:p>
    <w:p w:rsidR="00491F93" w:rsidRPr="00491F93" w:rsidRDefault="00491F93" w:rsidP="00491F93">
      <w:pPr>
        <w:tabs>
          <w:tab w:val="left" w:pos="0"/>
          <w:tab w:val="left" w:pos="420"/>
        </w:tabs>
        <w:spacing w:before="120" w:after="120" w:line="360" w:lineRule="auto"/>
        <w:ind w:firstLineChars="200" w:firstLine="480"/>
        <w:rPr>
          <w:rFonts w:ascii="仿宋" w:eastAsia="仿宋" w:hAnsi="仿宋" w:cs="Times New Roman"/>
          <w:sz w:val="24"/>
          <w:szCs w:val="24"/>
        </w:rPr>
      </w:pPr>
      <w:r w:rsidRPr="00491F93">
        <w:rPr>
          <w:rFonts w:ascii="仿宋" w:eastAsia="仿宋" w:hAnsi="仿宋" w:cs="Times New Roman" w:hint="eastAsia"/>
          <w:sz w:val="24"/>
          <w:szCs w:val="24"/>
        </w:rPr>
        <w:t>1</w:t>
      </w:r>
      <w:r w:rsidRPr="00491F93">
        <w:rPr>
          <w:rFonts w:ascii="仿宋" w:eastAsia="仿宋" w:hAnsi="仿宋" w:cs="Times New Roman"/>
          <w:sz w:val="24"/>
          <w:szCs w:val="24"/>
        </w:rPr>
        <w:t>.</w:t>
      </w:r>
      <w:r w:rsidRPr="00491F93">
        <w:rPr>
          <w:rFonts w:ascii="仿宋" w:eastAsia="仿宋" w:hAnsi="仿宋" w:cs="Times New Roman" w:hint="eastAsia"/>
          <w:sz w:val="24"/>
          <w:szCs w:val="24"/>
        </w:rPr>
        <w:t>★合同履行期限：合同签订后10日历天内完成施工图设计及深化、效果图设计工作，设计完成后90日历天内完工并验收合格。</w:t>
      </w:r>
    </w:p>
    <w:p w:rsidR="00491F93" w:rsidRPr="00491F93" w:rsidRDefault="00491F93" w:rsidP="00491F93">
      <w:pPr>
        <w:adjustRightInd w:val="0"/>
        <w:snapToGrid w:val="0"/>
        <w:spacing w:before="120" w:after="120" w:line="360" w:lineRule="auto"/>
        <w:ind w:firstLineChars="200" w:firstLine="480"/>
        <w:rPr>
          <w:rFonts w:ascii="仿宋" w:eastAsia="仿宋" w:hAnsi="仿宋" w:cs="Times New Roman"/>
          <w:sz w:val="24"/>
        </w:rPr>
      </w:pPr>
      <w:r w:rsidRPr="00491F93">
        <w:rPr>
          <w:rFonts w:ascii="仿宋" w:eastAsia="仿宋" w:hAnsi="仿宋" w:cs="Times New Roman" w:hint="eastAsia"/>
          <w:sz w:val="24"/>
        </w:rPr>
        <w:lastRenderedPageBreak/>
        <w:t>2</w:t>
      </w:r>
      <w:r w:rsidRPr="00491F93">
        <w:rPr>
          <w:rFonts w:ascii="仿宋" w:eastAsia="仿宋" w:hAnsi="仿宋" w:cs="Times New Roman"/>
          <w:sz w:val="24"/>
        </w:rPr>
        <w:t>.</w:t>
      </w:r>
      <w:r w:rsidRPr="00491F93">
        <w:rPr>
          <w:rFonts w:ascii="仿宋" w:eastAsia="仿宋" w:hAnsi="仿宋" w:cs="Times New Roman" w:hint="eastAsia"/>
          <w:sz w:val="24"/>
        </w:rPr>
        <w:t>★缺陷责任期：自竣工验收合格之日起2年。</w:t>
      </w:r>
    </w:p>
    <w:p w:rsidR="00491F93" w:rsidRPr="00491F93" w:rsidRDefault="00491F93" w:rsidP="00491F93">
      <w:pPr>
        <w:adjustRightInd w:val="0"/>
        <w:snapToGrid w:val="0"/>
        <w:spacing w:before="120" w:after="120" w:line="360" w:lineRule="auto"/>
        <w:ind w:firstLineChars="200" w:firstLine="480"/>
        <w:rPr>
          <w:rFonts w:ascii="仿宋" w:eastAsia="仿宋" w:hAnsi="仿宋" w:cs="Times New Roman"/>
          <w:sz w:val="24"/>
        </w:rPr>
      </w:pPr>
      <w:r w:rsidRPr="00491F93">
        <w:rPr>
          <w:rFonts w:ascii="仿宋" w:eastAsia="仿宋" w:hAnsi="仿宋" w:cs="Times New Roman"/>
          <w:sz w:val="24"/>
        </w:rPr>
        <w:t>3.</w:t>
      </w:r>
      <w:r w:rsidRPr="00491F93">
        <w:rPr>
          <w:rFonts w:ascii="仿宋" w:eastAsia="仿宋" w:hAnsi="仿宋" w:cs="Times New Roman" w:hint="eastAsia"/>
          <w:sz w:val="24"/>
        </w:rPr>
        <w:t>★工程保修期：不低于国家《建筑工程质量管理条例》最低标准。</w:t>
      </w:r>
    </w:p>
    <w:p w:rsidR="00491F93" w:rsidRPr="00491F93" w:rsidRDefault="00491F93" w:rsidP="00491F93">
      <w:pPr>
        <w:adjustRightInd w:val="0"/>
        <w:snapToGrid w:val="0"/>
        <w:spacing w:before="120" w:after="120" w:line="360" w:lineRule="auto"/>
        <w:ind w:firstLineChars="200" w:firstLine="480"/>
        <w:rPr>
          <w:rFonts w:ascii="仿宋" w:eastAsia="仿宋" w:hAnsi="仿宋" w:cs="Times New Roman"/>
          <w:sz w:val="24"/>
        </w:rPr>
      </w:pPr>
      <w:r w:rsidRPr="00491F93">
        <w:rPr>
          <w:rFonts w:ascii="仿宋" w:eastAsia="仿宋" w:hAnsi="仿宋" w:cs="Times New Roman"/>
          <w:sz w:val="24"/>
        </w:rPr>
        <w:t>4</w:t>
      </w:r>
      <w:r w:rsidRPr="00491F93">
        <w:rPr>
          <w:rFonts w:ascii="仿宋" w:eastAsia="仿宋" w:hAnsi="仿宋" w:cs="Times New Roman" w:hint="eastAsia"/>
          <w:sz w:val="24"/>
        </w:rPr>
        <w:t>.★本项目总预算不超过210万元（包括施工图设计及深化、效果图、施工、采购、安装等），本项目建安工程费按总价报价并对各个专业分部工程进行报价，设计费按总价报价（设计为限额设计，建安工程费不得高于205万元）。项目总费用计算办法：建安工程费+设计费。</w:t>
      </w:r>
    </w:p>
    <w:p w:rsidR="00491F93" w:rsidRPr="00491F93" w:rsidRDefault="00491F93" w:rsidP="00491F93">
      <w:pPr>
        <w:adjustRightInd w:val="0"/>
        <w:snapToGrid w:val="0"/>
        <w:spacing w:before="120" w:after="120" w:line="360" w:lineRule="auto"/>
        <w:ind w:firstLineChars="200" w:firstLine="480"/>
        <w:rPr>
          <w:rFonts w:ascii="仿宋" w:eastAsia="仿宋" w:hAnsi="仿宋" w:cs="Times New Roman"/>
          <w:sz w:val="24"/>
        </w:rPr>
      </w:pPr>
      <w:r w:rsidRPr="00491F93">
        <w:rPr>
          <w:rFonts w:ascii="仿宋" w:eastAsia="仿宋" w:hAnsi="仿宋" w:cs="Times New Roman"/>
          <w:sz w:val="24"/>
        </w:rPr>
        <w:t>5</w:t>
      </w:r>
      <w:r w:rsidRPr="00491F93">
        <w:rPr>
          <w:rFonts w:ascii="仿宋" w:eastAsia="仿宋" w:hAnsi="仿宋" w:cs="Times New Roman" w:hint="eastAsia"/>
          <w:sz w:val="24"/>
        </w:rPr>
        <w:t>.★本项目最高限价210万元，其中建安工程费限价：205万元，设计费限价：9万元且不高于计价格〔2002〕10 号《工程勘察设计收费标准》。供应商报价超出本项目最高限价和各部分限价，其响应将被拒绝。</w:t>
      </w:r>
    </w:p>
    <w:p w:rsidR="00491F93" w:rsidRPr="00491F93" w:rsidRDefault="00491F93" w:rsidP="00491F93">
      <w:pPr>
        <w:adjustRightInd w:val="0"/>
        <w:snapToGrid w:val="0"/>
        <w:spacing w:before="120" w:after="120" w:line="360" w:lineRule="auto"/>
        <w:ind w:firstLineChars="200" w:firstLine="480"/>
        <w:rPr>
          <w:rFonts w:ascii="仿宋" w:eastAsia="仿宋" w:hAnsi="仿宋" w:cs="Times New Roman"/>
          <w:sz w:val="24"/>
        </w:rPr>
      </w:pPr>
      <w:r w:rsidRPr="00491F93">
        <w:rPr>
          <w:rFonts w:ascii="仿宋" w:eastAsia="仿宋" w:hAnsi="仿宋" w:cs="Times New Roman"/>
          <w:sz w:val="24"/>
        </w:rPr>
        <w:t>6</w:t>
      </w:r>
      <w:r w:rsidRPr="00491F93">
        <w:rPr>
          <w:rFonts w:ascii="仿宋" w:eastAsia="仿宋" w:hAnsi="仿宋" w:cs="Times New Roman" w:hint="eastAsia"/>
          <w:sz w:val="24"/>
        </w:rPr>
        <w:t>.★合同签订后10日历天内完成施工图设计及深化、效果图设计工作，设计完成后供应商出具施工图预算清单（采用湖北地区定额计价模式进行计价），报经采购人审核（不得突破投标阶段所提交的报价清单及总价，经采购人审核后的总额作为合同结算封顶价），工程结算审计以采购人审计折减后的施工图预算清单为依据。</w:t>
      </w:r>
    </w:p>
    <w:p w:rsidR="00491F93" w:rsidRPr="00491F93" w:rsidRDefault="00491F93" w:rsidP="00491F93">
      <w:pPr>
        <w:adjustRightInd w:val="0"/>
        <w:snapToGrid w:val="0"/>
        <w:spacing w:before="120" w:after="120" w:line="360" w:lineRule="auto"/>
        <w:ind w:firstLineChars="200" w:firstLine="480"/>
        <w:rPr>
          <w:rFonts w:ascii="仿宋" w:eastAsia="仿宋" w:hAnsi="仿宋" w:cs="Times New Roman"/>
          <w:sz w:val="24"/>
        </w:rPr>
      </w:pPr>
      <w:r w:rsidRPr="00491F93">
        <w:rPr>
          <w:rFonts w:ascii="仿宋" w:eastAsia="仿宋" w:hAnsi="仿宋" w:cs="Times New Roman" w:hint="eastAsia"/>
          <w:sz w:val="24"/>
        </w:rPr>
        <w:t>7</w:t>
      </w:r>
      <w:r w:rsidRPr="00491F93">
        <w:rPr>
          <w:rFonts w:ascii="仿宋" w:eastAsia="仿宋" w:hAnsi="仿宋" w:cs="Times New Roman"/>
          <w:sz w:val="24"/>
        </w:rPr>
        <w:t>.</w:t>
      </w:r>
      <w:r w:rsidRPr="00491F93">
        <w:rPr>
          <w:rFonts w:ascii="仿宋" w:eastAsia="仿宋" w:hAnsi="仿宋" w:cs="Times New Roman" w:hint="eastAsia"/>
          <w:sz w:val="24"/>
        </w:rPr>
        <w:t>除项目经理、施工负责人、设计负责人、安全员外，供应商应配置能充分满足项目需求的项目组人员（如施工员、资料员、材料员等）。</w:t>
      </w:r>
    </w:p>
    <w:p w:rsidR="00491F93" w:rsidRPr="00491F93" w:rsidRDefault="00491F93" w:rsidP="00491F93">
      <w:pPr>
        <w:adjustRightInd w:val="0"/>
        <w:snapToGrid w:val="0"/>
        <w:spacing w:before="120" w:after="120" w:line="360" w:lineRule="auto"/>
        <w:ind w:firstLineChars="200" w:firstLine="480"/>
        <w:rPr>
          <w:rFonts w:ascii="仿宋" w:eastAsia="仿宋" w:hAnsi="仿宋" w:cs="Times New Roman"/>
          <w:sz w:val="24"/>
        </w:rPr>
      </w:pPr>
      <w:r w:rsidRPr="00491F93">
        <w:rPr>
          <w:rFonts w:ascii="仿宋" w:eastAsia="仿宋" w:hAnsi="仿宋" w:cs="Times New Roman" w:hint="eastAsia"/>
          <w:sz w:val="24"/>
        </w:rPr>
        <w:t>8</w:t>
      </w:r>
      <w:r w:rsidRPr="00491F93">
        <w:rPr>
          <w:rFonts w:ascii="仿宋" w:eastAsia="仿宋" w:hAnsi="仿宋" w:cs="Times New Roman"/>
          <w:sz w:val="24"/>
        </w:rPr>
        <w:t>.</w:t>
      </w:r>
      <w:r w:rsidRPr="00491F93">
        <w:rPr>
          <w:rFonts w:ascii="仿宋" w:eastAsia="仿宋" w:hAnsi="仿宋" w:cs="Times New Roman" w:hint="eastAsia"/>
          <w:sz w:val="24"/>
        </w:rPr>
        <w:t>供应商应根据本项目特点提供售后服务承诺及保障措施。</w:t>
      </w:r>
    </w:p>
    <w:p w:rsidR="00491F93" w:rsidRPr="00491F93" w:rsidRDefault="00491F93" w:rsidP="00491F93">
      <w:pPr>
        <w:spacing w:before="120" w:after="120"/>
        <w:ind w:firstLineChars="200" w:firstLine="480"/>
        <w:rPr>
          <w:rFonts w:ascii="仿宋" w:eastAsia="仿宋" w:hAnsi="仿宋" w:cs="Times New Roman"/>
          <w:sz w:val="28"/>
          <w:szCs w:val="28"/>
        </w:rPr>
        <w:sectPr w:rsidR="00491F93" w:rsidRPr="00491F93">
          <w:pgSz w:w="11906" w:h="16838"/>
          <w:pgMar w:top="1418" w:right="1418" w:bottom="1418" w:left="1418" w:header="851" w:footer="992" w:gutter="0"/>
          <w:cols w:space="720"/>
          <w:docGrid w:linePitch="579" w:charSpace="1229"/>
        </w:sectPr>
      </w:pPr>
      <w:r w:rsidRPr="00491F93">
        <w:rPr>
          <w:rFonts w:ascii="仿宋" w:eastAsia="仿宋" w:hAnsi="仿宋" w:cs="Times New Roman" w:hint="eastAsia"/>
          <w:sz w:val="24"/>
          <w:szCs w:val="24"/>
        </w:rPr>
        <w:t>本次采购需求中若涉及到品牌、型号的均为参考，其目的是为了方便供应商直观和准确地把握相应货物或材料、配件的技术标准，不具有限制性。供应商提供的货物或材料、配件的技术标准，应相当于或高于所列的品牌，并提供相应技术参数证明其符合采购需求。不满足采购需求中的“★”条款参数将导致其响应被拒绝。</w:t>
      </w:r>
    </w:p>
    <w:p w:rsidR="002745F4" w:rsidRPr="00491F93" w:rsidRDefault="003A6ECB"/>
    <w:sectPr w:rsidR="002745F4" w:rsidRPr="00491F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ECB" w:rsidRDefault="003A6ECB" w:rsidP="00491F93">
      <w:r>
        <w:separator/>
      </w:r>
    </w:p>
  </w:endnote>
  <w:endnote w:type="continuationSeparator" w:id="0">
    <w:p w:rsidR="003A6ECB" w:rsidRDefault="003A6ECB" w:rsidP="0049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ECB" w:rsidRDefault="003A6ECB" w:rsidP="00491F93">
      <w:r>
        <w:separator/>
      </w:r>
    </w:p>
  </w:footnote>
  <w:footnote w:type="continuationSeparator" w:id="0">
    <w:p w:rsidR="003A6ECB" w:rsidRDefault="003A6ECB" w:rsidP="00491F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DA4"/>
    <w:multiLevelType w:val="singleLevel"/>
    <w:tmpl w:val="73BF4EF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C0"/>
    <w:rsid w:val="003A6ECB"/>
    <w:rsid w:val="00491F93"/>
    <w:rsid w:val="00A173B5"/>
    <w:rsid w:val="00B820C0"/>
    <w:rsid w:val="00C4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434CC"/>
  <w15:chartTrackingRefBased/>
  <w15:docId w15:val="{5A3D3E48-7A89-4C5A-969B-0FD8AEEAD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F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1F93"/>
    <w:rPr>
      <w:sz w:val="18"/>
      <w:szCs w:val="18"/>
    </w:rPr>
  </w:style>
  <w:style w:type="paragraph" w:styleId="a5">
    <w:name w:val="footer"/>
    <w:basedOn w:val="a"/>
    <w:link w:val="a6"/>
    <w:uiPriority w:val="99"/>
    <w:unhideWhenUsed/>
    <w:rsid w:val="00491F93"/>
    <w:pPr>
      <w:tabs>
        <w:tab w:val="center" w:pos="4153"/>
        <w:tab w:val="right" w:pos="8306"/>
      </w:tabs>
      <w:snapToGrid w:val="0"/>
      <w:jc w:val="left"/>
    </w:pPr>
    <w:rPr>
      <w:sz w:val="18"/>
      <w:szCs w:val="18"/>
    </w:rPr>
  </w:style>
  <w:style w:type="character" w:customStyle="1" w:styleId="a6">
    <w:name w:val="页脚 字符"/>
    <w:basedOn w:val="a0"/>
    <w:link w:val="a5"/>
    <w:uiPriority w:val="99"/>
    <w:rsid w:val="00491F93"/>
    <w:rPr>
      <w:sz w:val="18"/>
      <w:szCs w:val="18"/>
    </w:rPr>
  </w:style>
  <w:style w:type="table" w:styleId="a7">
    <w:name w:val="Table Grid"/>
    <w:basedOn w:val="a1"/>
    <w:autoRedefine/>
    <w:qFormat/>
    <w:rsid w:val="00491F9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1336</Words>
  <Characters>7617</Characters>
  <Application>Microsoft Office Word</Application>
  <DocSecurity>0</DocSecurity>
  <Lines>63</Lines>
  <Paragraphs>17</Paragraphs>
  <ScaleCrop>false</ScaleCrop>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2024-06-11T08:04:00Z</dcterms:created>
  <dcterms:modified xsi:type="dcterms:W3CDTF">2024-06-11T08:05:00Z</dcterms:modified>
</cp:coreProperties>
</file>