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89" w:rsidRDefault="00913B89" w:rsidP="00913B89">
      <w:pPr>
        <w:pStyle w:val="2"/>
        <w:spacing w:before="156" w:after="156"/>
        <w:rPr>
          <w:rFonts w:asciiTheme="minorEastAsia" w:eastAsiaTheme="minorEastAsia" w:hAnsiTheme="minorEastAsia" w:cstheme="minorEastAsia"/>
          <w:szCs w:val="21"/>
        </w:rPr>
      </w:pPr>
      <w:bookmarkStart w:id="0" w:name="_Toc63752646"/>
      <w:bookmarkStart w:id="1" w:name="_Toc117967064"/>
      <w:r>
        <w:rPr>
          <w:rFonts w:asciiTheme="minorEastAsia" w:eastAsiaTheme="minorEastAsia" w:hAnsiTheme="minorEastAsia" w:cstheme="minorEastAsia" w:hint="eastAsia"/>
          <w:szCs w:val="21"/>
        </w:rPr>
        <w:t>附件1：《采购需求》</w:t>
      </w:r>
      <w:bookmarkEnd w:id="0"/>
      <w:bookmarkEnd w:id="1"/>
    </w:p>
    <w:p w:rsidR="00913B89" w:rsidRPr="002E3E9C" w:rsidRDefault="00913B89" w:rsidP="00913B89">
      <w:pPr>
        <w:widowControl/>
        <w:ind w:firstLineChars="200" w:firstLine="420"/>
        <w:jc w:val="center"/>
        <w:rPr>
          <w:rFonts w:ascii="宋体" w:eastAsia="宋体" w:hAnsi="宋体" w:cs="宋体"/>
          <w:color w:val="000000"/>
          <w:szCs w:val="21"/>
        </w:rPr>
      </w:pPr>
      <w:r w:rsidRPr="002E3E9C">
        <w:rPr>
          <w:rFonts w:ascii="宋体" w:eastAsia="宋体" w:hAnsi="宋体" w:cs="宋体" w:hint="eastAsia"/>
          <w:color w:val="000000"/>
          <w:szCs w:val="21"/>
        </w:rPr>
        <w:t>2022年国际划联龙舟世界杯赛事采购需求</w:t>
      </w:r>
    </w:p>
    <w:p w:rsidR="00913B89" w:rsidRPr="002E3E9C" w:rsidRDefault="00913B89" w:rsidP="00913B89">
      <w:pPr>
        <w:widowControl/>
        <w:numPr>
          <w:ilvl w:val="0"/>
          <w:numId w:val="1"/>
        </w:numPr>
        <w:ind w:left="0" w:firstLineChars="200" w:firstLine="420"/>
        <w:rPr>
          <w:rFonts w:ascii="黑体" w:eastAsia="黑体" w:hAnsi="黑体" w:cs="黑体"/>
          <w:kern w:val="0"/>
          <w:szCs w:val="21"/>
        </w:rPr>
      </w:pPr>
      <w:r w:rsidRPr="002E3E9C">
        <w:rPr>
          <w:rFonts w:ascii="黑体" w:eastAsia="黑体" w:hAnsi="黑体" w:cs="黑体" w:hint="eastAsia"/>
          <w:kern w:val="0"/>
          <w:szCs w:val="21"/>
        </w:rPr>
        <w:t>采购项目名称：</w:t>
      </w:r>
    </w:p>
    <w:p w:rsidR="00913B89" w:rsidRPr="002E3E9C" w:rsidRDefault="00913B89" w:rsidP="00913B89">
      <w:pPr>
        <w:snapToGrid w:val="0"/>
        <w:rPr>
          <w:rFonts w:ascii="宋体" w:eastAsia="宋体" w:hAnsi="宋体" w:cs="宋体"/>
          <w:b/>
          <w:kern w:val="0"/>
          <w:szCs w:val="21"/>
        </w:rPr>
      </w:pPr>
      <w:r w:rsidRPr="002E3E9C">
        <w:rPr>
          <w:rFonts w:ascii="仿宋" w:eastAsia="仿宋" w:hAnsi="仿宋" w:cs="仿宋" w:hint="eastAsia"/>
          <w:szCs w:val="21"/>
        </w:rPr>
        <w:t>《2022年国际划联龙舟世界杯》，将于12月在宜昌秭归举行，赛事规模800人，运动队400以内。</w:t>
      </w:r>
    </w:p>
    <w:p w:rsidR="00913B89" w:rsidRPr="002E3E9C" w:rsidRDefault="00913B89" w:rsidP="00913B89">
      <w:pPr>
        <w:widowControl/>
        <w:numPr>
          <w:ilvl w:val="0"/>
          <w:numId w:val="1"/>
        </w:numPr>
        <w:ind w:left="0" w:firstLineChars="200" w:firstLine="420"/>
        <w:rPr>
          <w:rFonts w:ascii="黑体" w:eastAsia="黑体" w:hAnsi="黑体" w:cs="黑体"/>
          <w:kern w:val="0"/>
          <w:szCs w:val="21"/>
        </w:rPr>
      </w:pPr>
      <w:r w:rsidRPr="002E3E9C">
        <w:rPr>
          <w:rFonts w:ascii="黑体" w:eastAsia="黑体" w:hAnsi="黑体" w:cs="黑体" w:hint="eastAsia"/>
          <w:kern w:val="0"/>
          <w:szCs w:val="21"/>
        </w:rPr>
        <w:t>采购项目内容</w:t>
      </w:r>
    </w:p>
    <w:p w:rsidR="00913B89" w:rsidRPr="002E3E9C" w:rsidRDefault="00913B89" w:rsidP="00913B89">
      <w:pPr>
        <w:tabs>
          <w:tab w:val="center" w:pos="4153"/>
          <w:tab w:val="right" w:pos="8306"/>
        </w:tabs>
        <w:snapToGrid w:val="0"/>
        <w:ind w:firstLineChars="200" w:firstLine="420"/>
        <w:rPr>
          <w:rFonts w:eastAsia="仿宋_GB2312"/>
          <w:szCs w:val="21"/>
        </w:rPr>
      </w:pPr>
      <w:r w:rsidRPr="002E3E9C">
        <w:rPr>
          <w:rFonts w:ascii="仿宋" w:eastAsia="仿宋" w:hAnsi="仿宋" w:cs="仿宋" w:hint="eastAsia"/>
          <w:szCs w:val="21"/>
        </w:rPr>
        <w:t>2022年国际划联龙舟世界杯为期4天，拟于12月举办。其中正式比赛日为2天，赛事规模为20支国家和地区龙舟队参赛。拟设</w:t>
      </w:r>
      <w:r w:rsidRPr="002E3E9C">
        <w:rPr>
          <w:rFonts w:ascii="仿宋_GB2312" w:eastAsia="仿宋_GB2312" w:hAnsi="仿宋" w:cs="方正仿宋_GBK" w:hint="eastAsia"/>
          <w:szCs w:val="21"/>
        </w:rPr>
        <w:t>男子组、女子组、混合组，10人龙舟2</w:t>
      </w:r>
      <w:r w:rsidRPr="002E3E9C">
        <w:rPr>
          <w:rFonts w:ascii="仿宋_GB2312" w:eastAsia="仿宋_GB2312" w:hAnsi="仿宋" w:cs="方正仿宋_GBK"/>
          <w:szCs w:val="21"/>
        </w:rPr>
        <w:t>00</w:t>
      </w:r>
      <w:r w:rsidRPr="002E3E9C">
        <w:rPr>
          <w:rFonts w:ascii="仿宋_GB2312" w:eastAsia="仿宋_GB2312" w:hAnsi="仿宋" w:cs="方正仿宋_GBK" w:hint="eastAsia"/>
          <w:szCs w:val="21"/>
        </w:rPr>
        <w:t>米直道赛、10人龙舟</w:t>
      </w:r>
      <w:r w:rsidRPr="002E3E9C">
        <w:rPr>
          <w:rFonts w:ascii="仿宋_GB2312" w:eastAsia="仿宋_GB2312" w:hAnsi="仿宋" w:cs="方正仿宋_GBK"/>
          <w:szCs w:val="21"/>
        </w:rPr>
        <w:t>500</w:t>
      </w:r>
      <w:r w:rsidRPr="002E3E9C">
        <w:rPr>
          <w:rFonts w:ascii="仿宋_GB2312" w:eastAsia="仿宋_GB2312" w:hAnsi="仿宋" w:cs="方正仿宋_GBK" w:hint="eastAsia"/>
          <w:szCs w:val="21"/>
        </w:rPr>
        <w:t>米直道赛、10人龙舟20</w:t>
      </w:r>
      <w:r w:rsidRPr="002E3E9C">
        <w:rPr>
          <w:rFonts w:ascii="仿宋_GB2312" w:eastAsia="仿宋_GB2312" w:hAnsi="仿宋" w:cs="方正仿宋_GBK"/>
          <w:szCs w:val="21"/>
        </w:rPr>
        <w:t>00</w:t>
      </w:r>
      <w:r w:rsidRPr="002E3E9C">
        <w:rPr>
          <w:rFonts w:ascii="仿宋_GB2312" w:eastAsia="仿宋_GB2312" w:hAnsi="仿宋" w:cs="方正仿宋_GBK" w:hint="eastAsia"/>
          <w:szCs w:val="21"/>
        </w:rPr>
        <w:t>米追逐赛，共9个小项比赛。</w:t>
      </w:r>
    </w:p>
    <w:p w:rsidR="00913B89" w:rsidRPr="002E3E9C" w:rsidRDefault="00913B89" w:rsidP="00913B89">
      <w:pPr>
        <w:widowControl/>
        <w:numPr>
          <w:ilvl w:val="0"/>
          <w:numId w:val="1"/>
        </w:numPr>
        <w:ind w:left="0" w:firstLineChars="200" w:firstLine="420"/>
        <w:rPr>
          <w:rFonts w:ascii="黑体" w:eastAsia="黑体" w:hAnsi="黑体" w:cs="黑体"/>
          <w:kern w:val="0"/>
          <w:szCs w:val="21"/>
        </w:rPr>
      </w:pPr>
      <w:r w:rsidRPr="002E3E9C">
        <w:rPr>
          <w:rFonts w:ascii="黑体" w:eastAsia="黑体" w:hAnsi="黑体" w:cs="黑体" w:hint="eastAsia"/>
          <w:kern w:val="0"/>
          <w:szCs w:val="21"/>
        </w:rPr>
        <w:t>服务标准</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中标供应商需为参赛人员和组织保障人员提供比赛期间的有关保障服务，具体标准为：</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（一）食宿和交通</w:t>
      </w:r>
    </w:p>
    <w:p w:rsidR="00913B89" w:rsidRPr="002E3E9C" w:rsidRDefault="00913B89" w:rsidP="00913B89">
      <w:pPr>
        <w:widowControl/>
        <w:ind w:firstLineChars="200" w:firstLine="420"/>
        <w:rPr>
          <w:rFonts w:ascii="仿宋" w:eastAsia="仿宋" w:hAnsi="仿宋" w:cs="仿宋"/>
          <w:szCs w:val="21"/>
        </w:rPr>
      </w:pPr>
      <w:r w:rsidRPr="002E3E9C">
        <w:rPr>
          <w:rFonts w:ascii="仿宋" w:eastAsia="仿宋" w:hAnsi="仿宋" w:cs="仿宋" w:hint="eastAsia"/>
          <w:szCs w:val="21"/>
        </w:rPr>
        <w:t>1.提供四天裁判员、技术官员食宿和差旅交通，食宿每</w:t>
      </w:r>
    </w:p>
    <w:p w:rsidR="00913B89" w:rsidRPr="002E3E9C" w:rsidRDefault="00913B89" w:rsidP="00913B89">
      <w:pPr>
        <w:widowControl/>
        <w:ind w:firstLineChars="200" w:firstLine="420"/>
        <w:rPr>
          <w:rFonts w:ascii="仿宋" w:eastAsia="仿宋" w:hAnsi="仿宋" w:cs="仿宋"/>
          <w:szCs w:val="21"/>
        </w:rPr>
      </w:pPr>
      <w:r w:rsidRPr="002E3E9C">
        <w:rPr>
          <w:rFonts w:ascii="仿宋" w:eastAsia="仿宋" w:hAnsi="仿宋" w:cs="仿宋" w:hint="eastAsia"/>
          <w:szCs w:val="21"/>
        </w:rPr>
        <w:t>人每天不低于220元，</w:t>
      </w:r>
      <w:r w:rsidRPr="002E3E9C">
        <w:rPr>
          <w:rFonts w:ascii="仿宋" w:eastAsia="仿宋" w:hAnsi="仿宋" w:cs="仿宋" w:hint="eastAsia"/>
          <w:kern w:val="0"/>
          <w:szCs w:val="21"/>
        </w:rPr>
        <w:t>裁判员、竞赛官员（含境外官员）往返差旅费按国家相关规定报销；</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2.负责参赛队三天的食宿，大会负责为参赛</w:t>
      </w:r>
      <w:proofErr w:type="gramStart"/>
      <w:r w:rsidRPr="002E3E9C">
        <w:rPr>
          <w:rFonts w:ascii="仿宋" w:eastAsia="仿宋" w:hAnsi="仿宋" w:cs="仿宋" w:hint="eastAsia"/>
          <w:szCs w:val="21"/>
        </w:rPr>
        <w:t>队机场</w:t>
      </w:r>
      <w:proofErr w:type="gramEnd"/>
      <w:r w:rsidRPr="002E3E9C">
        <w:rPr>
          <w:rFonts w:ascii="仿宋" w:eastAsia="仿宋" w:hAnsi="仿宋" w:cs="仿宋" w:hint="eastAsia"/>
          <w:szCs w:val="21"/>
        </w:rPr>
        <w:t>或宜昌东站至比赛驻地接送站各一次。</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（二）医疗、防疫、保险</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1.聘请2名专职医生，为参赛人员提供常规性的医务</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保障（包括常规药品、急救药品等）服务，赛事期间租用1台救护车（配急救医生和护士），确保参赛运动员的比赛安全；</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2.防疫保障，做好疫情防控“新常态”下的赛事活动，保障比赛的顺利进行，在</w:t>
      </w:r>
      <w:r w:rsidRPr="002E3E9C">
        <w:rPr>
          <w:rFonts w:ascii="仿宋" w:eastAsia="仿宋" w:hAnsi="仿宋" w:cs="宋体" w:hint="eastAsia"/>
          <w:szCs w:val="21"/>
        </w:rPr>
        <w:t>住宿酒店和</w:t>
      </w:r>
      <w:r w:rsidRPr="002E3E9C">
        <w:rPr>
          <w:rFonts w:ascii="仿宋" w:eastAsia="仿宋" w:hAnsi="仿宋" w:cs="仿宋" w:hint="eastAsia"/>
          <w:szCs w:val="21"/>
        </w:rPr>
        <w:t>场地大门安置体温检测枪（门），为赛会所有人员提供防疫所需消毒液、口罩等；</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3.赛事保险，为赛会购买人身意外伤害保险，累计赔偿限额不低于5000万元（含），每人每次意外伤残死亡赔偿限额不低于30万元（含），每人每次医疗费不低于2万元（含）。</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(三）交通保障</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1、负责裁判员往返于赛场与驻地之间(住地酒店至赛场1公里以上)，以及在赛场内的交通保障需要；</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2、负责运动员往返于赛场与驻地之间(住地酒店至赛场1公里以上)；</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3、如遇突发状况，要保证第一时间安排专车提供交通保障。</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（四）赛事场地器材</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1、10人标准龙舟14条（含2 条备用），包括桨、鼓、舵和救生衣等，使用4天时间；</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2、共4条500米赛道，配备相应的起、终点赛道标识；</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lastRenderedPageBreak/>
        <w:t>3、裁判艇和救生艇共5，对讲机20台，喊话器4个、起航音响、信号旗、计时秒表、电脑、打印机、办公用品等裁判员所需器材；</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 xml:space="preserve">4、为本次比赛配备相应的起航平台，发令台，终点计时台，电子计时器，登舟码头; </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5、配备本次比赛所需的运动员休息帐篷和其它工作用帐篷。</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（五）裁判员、大会工作人员聘请</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1</w:t>
      </w:r>
      <w:r>
        <w:rPr>
          <w:rFonts w:ascii="仿宋" w:eastAsia="仿宋" w:hAnsi="仿宋" w:cs="仿宋" w:hint="eastAsia"/>
          <w:szCs w:val="21"/>
        </w:rPr>
        <w:t>．</w:t>
      </w:r>
      <w:r w:rsidRPr="002E3E9C">
        <w:rPr>
          <w:rFonts w:ascii="仿宋" w:eastAsia="仿宋" w:hAnsi="仿宋" w:cs="仿宋" w:hint="eastAsia"/>
          <w:szCs w:val="21"/>
        </w:rPr>
        <w:t>按照采购方的要求，聘请龙舟国际级裁判员5名，国家一级裁判员10名及其他等级裁判员；</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2</w:t>
      </w:r>
      <w:r>
        <w:rPr>
          <w:rFonts w:ascii="仿宋" w:eastAsia="仿宋" w:hAnsi="仿宋" w:cs="仿宋" w:hint="eastAsia"/>
          <w:szCs w:val="21"/>
        </w:rPr>
        <w:t>．</w:t>
      </w:r>
      <w:r w:rsidRPr="002E3E9C">
        <w:rPr>
          <w:rFonts w:ascii="仿宋" w:eastAsia="仿宋" w:hAnsi="仿宋" w:cs="仿宋" w:hint="eastAsia"/>
          <w:szCs w:val="21"/>
        </w:rPr>
        <w:t>聘请8名扶船员、器材管理员5-8人、救生员6-8人（含救生器材）；</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3.负责5天46人（以内）裁判员的食宿及劳务费,按相关规定执行；</w:t>
      </w:r>
    </w:p>
    <w:p w:rsidR="00913B89" w:rsidRPr="002E3E9C" w:rsidRDefault="00913B89" w:rsidP="00913B89">
      <w:pPr>
        <w:tabs>
          <w:tab w:val="center" w:pos="4153"/>
          <w:tab w:val="right" w:pos="8306"/>
        </w:tabs>
        <w:snapToGrid w:val="0"/>
        <w:ind w:firstLineChars="200" w:firstLine="420"/>
        <w:rPr>
          <w:rFonts w:eastAsia="宋体"/>
          <w:szCs w:val="21"/>
        </w:rPr>
      </w:pPr>
      <w:r w:rsidRPr="002E3E9C">
        <w:rPr>
          <w:rFonts w:ascii="仿宋" w:eastAsia="仿宋" w:hAnsi="仿宋" w:cs="仿宋" w:hint="eastAsia"/>
          <w:szCs w:val="21"/>
        </w:rPr>
        <w:t>4.负责志愿者的组织和大会翻译的聘请，包含有英语口语能力的志愿者。</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（六）裁判员服装</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为裁判员和工作人员每人提供1套裁判服，费用标准300元/人。</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（七）开幕仪式和颁奖仪式</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1.与采购方共同协商，精心策划、认真准备，顺利组织举办开幕仪式和颁奖仪式，赛事背景墙桁架，颁奖台、音响、主持人等；</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2.为获奖运动队订制奖牌、奖杯、奖书；</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3.根据赛事赞助情况为获奖运动队颁发奖金或奖品。</w:t>
      </w:r>
    </w:p>
    <w:p w:rsidR="00913B89" w:rsidRPr="002E3E9C" w:rsidRDefault="00913B89" w:rsidP="00913B89">
      <w:pPr>
        <w:tabs>
          <w:tab w:val="right" w:pos="7666"/>
        </w:tabs>
        <w:snapToGrid w:val="0"/>
        <w:ind w:firstLineChars="200" w:firstLine="420"/>
        <w:rPr>
          <w:rFonts w:ascii="仿宋" w:eastAsia="仿宋" w:hAnsi="仿宋" w:cs="仿宋"/>
          <w:szCs w:val="21"/>
        </w:rPr>
      </w:pPr>
      <w:r w:rsidRPr="002E3E9C">
        <w:rPr>
          <w:rFonts w:ascii="仿宋" w:eastAsia="仿宋" w:hAnsi="仿宋" w:cs="仿宋" w:hint="eastAsia"/>
          <w:szCs w:val="21"/>
        </w:rPr>
        <w:t>（八）赛事期间会议室</w:t>
      </w:r>
      <w:r w:rsidRPr="002E3E9C">
        <w:rPr>
          <w:rFonts w:ascii="仿宋" w:eastAsia="仿宋" w:hAnsi="仿宋" w:cs="仿宋" w:hint="eastAsia"/>
          <w:szCs w:val="21"/>
        </w:rPr>
        <w:tab/>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赛事期间提供1间能够容纳80人以上的会议室，配置有桌椅、音响、投影仪等，保障赛事相关会议顺利召开。</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（九）其它保障</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 xml:space="preserve">1.宣传氛围布置、秩序册、成绩册印制; </w:t>
      </w:r>
    </w:p>
    <w:p w:rsidR="00913B89" w:rsidRPr="002E3E9C" w:rsidRDefault="00913B89" w:rsidP="00913B89">
      <w:pPr>
        <w:snapToGrid w:val="0"/>
        <w:ind w:firstLineChars="200" w:firstLine="420"/>
        <w:rPr>
          <w:rFonts w:ascii="仿宋" w:eastAsia="仿宋" w:hAnsi="仿宋" w:cs="仿宋"/>
          <w:szCs w:val="21"/>
        </w:rPr>
      </w:pPr>
      <w:r w:rsidRPr="002E3E9C">
        <w:rPr>
          <w:rFonts w:ascii="仿宋" w:eastAsia="仿宋" w:hAnsi="仿宋" w:cs="仿宋" w:hint="eastAsia"/>
          <w:szCs w:val="21"/>
        </w:rPr>
        <w:t>2.比赛期间为每参赛队和裁判员提供足够的饮用水。</w:t>
      </w:r>
    </w:p>
    <w:p w:rsidR="00913B89" w:rsidRPr="002E3E9C" w:rsidRDefault="00913B89" w:rsidP="00913B89">
      <w:pPr>
        <w:widowControl/>
        <w:ind w:firstLineChars="200" w:firstLine="420"/>
        <w:rPr>
          <w:rFonts w:ascii="黑体" w:eastAsia="黑体" w:hAnsi="黑体" w:cs="黑体"/>
          <w:kern w:val="0"/>
          <w:szCs w:val="21"/>
        </w:rPr>
      </w:pPr>
      <w:r w:rsidRPr="002E3E9C">
        <w:rPr>
          <w:rFonts w:ascii="黑体" w:eastAsia="黑体" w:hAnsi="黑体" w:cs="黑体" w:hint="eastAsia"/>
          <w:kern w:val="0"/>
          <w:szCs w:val="21"/>
        </w:rPr>
        <w:t>四、相关要求</w:t>
      </w:r>
    </w:p>
    <w:p w:rsidR="00913B89" w:rsidRPr="002E3E9C" w:rsidRDefault="00913B89" w:rsidP="00913B89">
      <w:pPr>
        <w:widowControl/>
        <w:ind w:firstLineChars="200" w:firstLine="420"/>
        <w:rPr>
          <w:rFonts w:ascii="仿宋" w:eastAsia="仿宋" w:hAnsi="仿宋" w:cs="仿宋"/>
          <w:kern w:val="0"/>
          <w:szCs w:val="21"/>
        </w:rPr>
      </w:pPr>
      <w:r w:rsidRPr="002E3E9C">
        <w:rPr>
          <w:rFonts w:ascii="仿宋" w:eastAsia="仿宋" w:hAnsi="仿宋" w:cs="仿宋" w:hint="eastAsia"/>
          <w:kern w:val="0"/>
          <w:szCs w:val="21"/>
        </w:rPr>
        <w:t>（一）组织团队：正规注册、有组织类似赛事经验的相关体育公司、体育协会、俱乐部等团队。</w:t>
      </w:r>
      <w:r w:rsidRPr="002E3E9C">
        <w:rPr>
          <w:rFonts w:ascii="仿宋" w:eastAsia="仿宋" w:hAnsi="仿宋" w:cs="仿宋"/>
          <w:kern w:val="0"/>
          <w:szCs w:val="21"/>
        </w:rPr>
        <w:br/>
      </w:r>
      <w:r w:rsidRPr="002E3E9C">
        <w:rPr>
          <w:rFonts w:ascii="仿宋" w:eastAsia="仿宋" w:hAnsi="仿宋" w:cs="仿宋" w:hint="eastAsia"/>
          <w:kern w:val="0"/>
          <w:szCs w:val="21"/>
        </w:rPr>
        <w:t xml:space="preserve">    （二）供应商要根据采购方提出的需求，提前制定科学的项目实施方案以及应急预案，并保证方案切实可行。在项目实施过程中，要做到热情服务、保障及时、认真细致、安全高效，对器材场地设施设备和参与人员进行严格管理，确保各项工作顺利安全开展。</w:t>
      </w:r>
    </w:p>
    <w:p w:rsidR="00913B89" w:rsidRPr="002E3E9C" w:rsidRDefault="00913B89" w:rsidP="00913B89">
      <w:pPr>
        <w:widowControl/>
        <w:ind w:firstLineChars="200" w:firstLine="420"/>
        <w:rPr>
          <w:rFonts w:ascii="仿宋" w:eastAsia="仿宋" w:hAnsi="仿宋" w:cs="仿宋"/>
          <w:kern w:val="0"/>
          <w:szCs w:val="21"/>
        </w:rPr>
      </w:pPr>
      <w:r w:rsidRPr="002E3E9C">
        <w:rPr>
          <w:rFonts w:ascii="仿宋" w:eastAsia="仿宋" w:hAnsi="仿宋" w:cs="仿宋" w:hint="eastAsia"/>
          <w:kern w:val="0"/>
          <w:szCs w:val="21"/>
        </w:rPr>
        <w:t>（三）高度重视安全工作，一是要重视比赛（训练）的人身安全；二是要重视交通安全；三是保障饮食安全；四是要重视场地设施和器材设备安全。</w:t>
      </w:r>
      <w:r w:rsidRPr="002E3E9C">
        <w:rPr>
          <w:rFonts w:ascii="仿宋" w:eastAsia="仿宋" w:hAnsi="仿宋" w:cs="仿宋"/>
          <w:kern w:val="0"/>
          <w:szCs w:val="21"/>
        </w:rPr>
        <w:br/>
      </w:r>
      <w:r w:rsidRPr="002E3E9C">
        <w:rPr>
          <w:rFonts w:ascii="仿宋" w:eastAsia="仿宋" w:hAnsi="仿宋" w:cs="仿宋" w:hint="eastAsia"/>
          <w:kern w:val="0"/>
          <w:szCs w:val="21"/>
        </w:rPr>
        <w:lastRenderedPageBreak/>
        <w:t xml:space="preserve">    （四）供应</w:t>
      </w:r>
      <w:proofErr w:type="gramStart"/>
      <w:r w:rsidRPr="002E3E9C">
        <w:rPr>
          <w:rFonts w:ascii="仿宋" w:eastAsia="仿宋" w:hAnsi="仿宋" w:cs="仿宋" w:hint="eastAsia"/>
          <w:kern w:val="0"/>
          <w:szCs w:val="21"/>
        </w:rPr>
        <w:t>商保障</w:t>
      </w:r>
      <w:proofErr w:type="gramEnd"/>
      <w:r w:rsidRPr="002E3E9C">
        <w:rPr>
          <w:rFonts w:ascii="仿宋" w:eastAsia="仿宋" w:hAnsi="仿宋" w:cs="仿宋" w:hint="eastAsia"/>
          <w:kern w:val="0"/>
          <w:szCs w:val="21"/>
        </w:rPr>
        <w:t>服务过程中，如遇突发情况，要及时与采购方沟通，及时协调解决出现的困难和问题。</w:t>
      </w:r>
    </w:p>
    <w:p w:rsidR="00913B89" w:rsidRPr="002E3E9C" w:rsidRDefault="00913B89" w:rsidP="00913B89">
      <w:pPr>
        <w:widowControl/>
        <w:ind w:firstLineChars="200" w:firstLine="420"/>
        <w:rPr>
          <w:rFonts w:ascii="仿宋" w:eastAsia="仿宋" w:hAnsi="仿宋" w:cs="仿宋"/>
          <w:kern w:val="0"/>
          <w:szCs w:val="21"/>
        </w:rPr>
      </w:pPr>
      <w:r w:rsidRPr="002E3E9C">
        <w:rPr>
          <w:rFonts w:ascii="仿宋" w:eastAsia="仿宋" w:hAnsi="仿宋" w:cs="仿宋" w:hint="eastAsia"/>
          <w:kern w:val="0"/>
          <w:szCs w:val="21"/>
        </w:rPr>
        <w:t>（五）保障服务结束后，中标供应</w:t>
      </w:r>
      <w:proofErr w:type="gramStart"/>
      <w:r w:rsidRPr="002E3E9C">
        <w:rPr>
          <w:rFonts w:ascii="仿宋" w:eastAsia="仿宋" w:hAnsi="仿宋" w:cs="仿宋" w:hint="eastAsia"/>
          <w:kern w:val="0"/>
          <w:szCs w:val="21"/>
        </w:rPr>
        <w:t>商实际</w:t>
      </w:r>
      <w:proofErr w:type="gramEnd"/>
      <w:r w:rsidRPr="002E3E9C">
        <w:rPr>
          <w:rFonts w:ascii="仿宋" w:eastAsia="仿宋" w:hAnsi="仿宋" w:cs="仿宋" w:hint="eastAsia"/>
          <w:kern w:val="0"/>
          <w:szCs w:val="21"/>
        </w:rPr>
        <w:t>发生的服务不得超出项目预算金额。</w:t>
      </w:r>
    </w:p>
    <w:p w:rsidR="00913B89" w:rsidRPr="002E3E9C" w:rsidRDefault="00913B89" w:rsidP="00913B89">
      <w:pPr>
        <w:tabs>
          <w:tab w:val="center" w:pos="4153"/>
          <w:tab w:val="right" w:pos="8306"/>
        </w:tabs>
        <w:snapToGrid w:val="0"/>
        <w:ind w:firstLineChars="200" w:firstLine="420"/>
        <w:rPr>
          <w:rFonts w:eastAsia="仿宋"/>
          <w:szCs w:val="21"/>
        </w:rPr>
      </w:pPr>
      <w:r w:rsidRPr="002E3E9C">
        <w:rPr>
          <w:rFonts w:ascii="仿宋" w:eastAsia="仿宋" w:hAnsi="仿宋" w:cs="仿宋" w:hint="eastAsia"/>
          <w:kern w:val="0"/>
          <w:szCs w:val="21"/>
        </w:rPr>
        <w:t>（六）赛事结束后15日内供应商向采购方提交赛事总结、赛事相关清单和资料。</w:t>
      </w:r>
    </w:p>
    <w:p w:rsidR="00913B89" w:rsidRDefault="00913B89" w:rsidP="00913B89">
      <w:pPr>
        <w:widowControl/>
        <w:spacing w:line="240" w:lineRule="auto"/>
        <w:jc w:val="left"/>
        <w:rPr>
          <w:rFonts w:asciiTheme="minorEastAsia" w:eastAsiaTheme="minorEastAsia" w:hAnsiTheme="minorEastAsia" w:cstheme="minorEastAsia"/>
          <w:b/>
          <w:bCs/>
          <w:szCs w:val="21"/>
        </w:rPr>
      </w:pPr>
      <w:bookmarkStart w:id="2" w:name="_Toc117967065"/>
      <w:r>
        <w:rPr>
          <w:rFonts w:asciiTheme="minorEastAsia" w:eastAsiaTheme="minorEastAsia" w:hAnsiTheme="minorEastAsia" w:cstheme="minorEastAsia"/>
          <w:szCs w:val="21"/>
        </w:rPr>
        <w:br w:type="page"/>
      </w:r>
    </w:p>
    <w:p w:rsidR="00913B89" w:rsidRDefault="00913B89" w:rsidP="00913B89">
      <w:pPr>
        <w:pStyle w:val="2"/>
        <w:spacing w:before="156" w:after="15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附件2：《文件获取登记表》</w:t>
      </w:r>
      <w:bookmarkEnd w:id="2"/>
    </w:p>
    <w:p w:rsidR="00913B89" w:rsidRDefault="00913B89" w:rsidP="00913B89">
      <w:pPr>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文件获取登记表</w:t>
      </w:r>
    </w:p>
    <w:tbl>
      <w:tblPr>
        <w:tblW w:w="9180" w:type="dxa"/>
        <w:tblLook w:val="04A0" w:firstRow="1" w:lastRow="0" w:firstColumn="1" w:lastColumn="0" w:noHBand="0" w:noVBand="1"/>
      </w:tblPr>
      <w:tblGrid>
        <w:gridCol w:w="2434"/>
        <w:gridCol w:w="2248"/>
        <w:gridCol w:w="2249"/>
        <w:gridCol w:w="2249"/>
      </w:tblGrid>
      <w:tr w:rsidR="00913B89" w:rsidTr="009E0059">
        <w:trPr>
          <w:trHeight w:val="605"/>
        </w:trPr>
        <w:tc>
          <w:tcPr>
            <w:tcW w:w="2434" w:type="dxa"/>
            <w:tcBorders>
              <w:top w:val="single" w:sz="4" w:space="0" w:color="auto"/>
              <w:left w:val="single" w:sz="4" w:space="0" w:color="auto"/>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r>
      <w:tr w:rsidR="00913B89" w:rsidTr="009E0059">
        <w:trPr>
          <w:trHeight w:val="660"/>
        </w:trPr>
        <w:tc>
          <w:tcPr>
            <w:tcW w:w="2434" w:type="dxa"/>
            <w:tcBorders>
              <w:top w:val="nil"/>
              <w:left w:val="single" w:sz="4" w:space="0" w:color="auto"/>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项目编号</w:t>
            </w:r>
          </w:p>
        </w:tc>
        <w:tc>
          <w:tcPr>
            <w:tcW w:w="2248" w:type="dxa"/>
            <w:tcBorders>
              <w:top w:val="nil"/>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c>
          <w:tcPr>
            <w:tcW w:w="2249" w:type="dxa"/>
            <w:tcBorders>
              <w:top w:val="nil"/>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roofErr w:type="gramStart"/>
            <w:r>
              <w:rPr>
                <w:rFonts w:asciiTheme="minorEastAsia" w:eastAsiaTheme="minorEastAsia" w:hAnsiTheme="minorEastAsia" w:cstheme="minorEastAsia" w:hint="eastAsia"/>
                <w:kern w:val="0"/>
                <w:szCs w:val="21"/>
              </w:rPr>
              <w:t>包号</w:t>
            </w:r>
            <w:proofErr w:type="gramEnd"/>
          </w:p>
        </w:tc>
        <w:tc>
          <w:tcPr>
            <w:tcW w:w="2249" w:type="dxa"/>
            <w:tcBorders>
              <w:top w:val="nil"/>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r>
      <w:tr w:rsidR="00913B89" w:rsidTr="009E0059">
        <w:trPr>
          <w:trHeight w:val="810"/>
        </w:trPr>
        <w:tc>
          <w:tcPr>
            <w:tcW w:w="2434" w:type="dxa"/>
            <w:tcBorders>
              <w:top w:val="nil"/>
              <w:left w:val="single" w:sz="4" w:space="0" w:color="auto"/>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供应商/供应商名称</w:t>
            </w:r>
          </w:p>
        </w:tc>
        <w:tc>
          <w:tcPr>
            <w:tcW w:w="6746" w:type="dxa"/>
            <w:gridSpan w:val="3"/>
            <w:tcBorders>
              <w:top w:val="single" w:sz="4" w:space="0" w:color="auto"/>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r>
      <w:tr w:rsidR="00913B89" w:rsidTr="009E0059">
        <w:trPr>
          <w:trHeight w:val="810"/>
        </w:trPr>
        <w:tc>
          <w:tcPr>
            <w:tcW w:w="2434" w:type="dxa"/>
            <w:tcBorders>
              <w:top w:val="nil"/>
              <w:left w:val="single" w:sz="4" w:space="0" w:color="auto"/>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r>
      <w:tr w:rsidR="00913B89" w:rsidTr="009E0059">
        <w:trPr>
          <w:trHeight w:val="675"/>
        </w:trPr>
        <w:tc>
          <w:tcPr>
            <w:tcW w:w="2434" w:type="dxa"/>
            <w:tcBorders>
              <w:top w:val="nil"/>
              <w:left w:val="single" w:sz="4" w:space="0" w:color="auto"/>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地址</w:t>
            </w:r>
          </w:p>
        </w:tc>
        <w:tc>
          <w:tcPr>
            <w:tcW w:w="6746" w:type="dxa"/>
            <w:gridSpan w:val="3"/>
            <w:tcBorders>
              <w:top w:val="nil"/>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r>
      <w:tr w:rsidR="00913B89" w:rsidTr="009E0059">
        <w:trPr>
          <w:trHeight w:val="720"/>
        </w:trPr>
        <w:tc>
          <w:tcPr>
            <w:tcW w:w="2434" w:type="dxa"/>
            <w:vMerge w:val="restart"/>
            <w:tcBorders>
              <w:top w:val="nil"/>
              <w:left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授权代表姓名</w:t>
            </w:r>
          </w:p>
        </w:tc>
        <w:tc>
          <w:tcPr>
            <w:tcW w:w="2248" w:type="dxa"/>
            <w:vMerge w:val="restart"/>
            <w:tcBorders>
              <w:top w:val="nil"/>
              <w:left w:val="nil"/>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c>
          <w:tcPr>
            <w:tcW w:w="2249" w:type="dxa"/>
            <w:tcBorders>
              <w:top w:val="nil"/>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联系电话</w:t>
            </w:r>
          </w:p>
        </w:tc>
        <w:tc>
          <w:tcPr>
            <w:tcW w:w="2249" w:type="dxa"/>
            <w:tcBorders>
              <w:top w:val="nil"/>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r>
      <w:tr w:rsidR="00913B89" w:rsidTr="009E0059">
        <w:trPr>
          <w:trHeight w:val="765"/>
        </w:trPr>
        <w:tc>
          <w:tcPr>
            <w:tcW w:w="2434" w:type="dxa"/>
            <w:vMerge/>
            <w:tcBorders>
              <w:left w:val="single" w:sz="4" w:space="0" w:color="auto"/>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c>
          <w:tcPr>
            <w:tcW w:w="2248" w:type="dxa"/>
            <w:vMerge/>
            <w:tcBorders>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c>
          <w:tcPr>
            <w:tcW w:w="2249" w:type="dxa"/>
            <w:tcBorders>
              <w:top w:val="nil"/>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邮箱</w:t>
            </w:r>
          </w:p>
        </w:tc>
        <w:tc>
          <w:tcPr>
            <w:tcW w:w="2249" w:type="dxa"/>
            <w:tcBorders>
              <w:top w:val="nil"/>
              <w:left w:val="nil"/>
              <w:bottom w:val="single" w:sz="4" w:space="0" w:color="auto"/>
              <w:right w:val="single" w:sz="4" w:space="0" w:color="auto"/>
            </w:tcBorders>
            <w:vAlign w:val="center"/>
          </w:tcPr>
          <w:p w:rsidR="00913B89" w:rsidRDefault="00913B89" w:rsidP="009E0059">
            <w:pPr>
              <w:widowControl/>
              <w:spacing w:line="240" w:lineRule="auto"/>
              <w:jc w:val="center"/>
              <w:rPr>
                <w:rFonts w:asciiTheme="minorEastAsia" w:eastAsiaTheme="minorEastAsia" w:hAnsiTheme="minorEastAsia" w:cstheme="minorEastAsia"/>
                <w:kern w:val="0"/>
                <w:szCs w:val="21"/>
              </w:rPr>
            </w:pPr>
          </w:p>
        </w:tc>
      </w:tr>
      <w:tr w:rsidR="00913B89" w:rsidTr="009E0059">
        <w:trPr>
          <w:trHeight w:val="810"/>
        </w:trPr>
        <w:tc>
          <w:tcPr>
            <w:tcW w:w="9180" w:type="dxa"/>
            <w:gridSpan w:val="4"/>
            <w:tcBorders>
              <w:top w:val="nil"/>
              <w:left w:val="single" w:sz="4" w:space="0" w:color="auto"/>
              <w:bottom w:val="single" w:sz="4" w:space="0" w:color="auto"/>
              <w:right w:val="single" w:sz="4" w:space="0" w:color="auto"/>
            </w:tcBorders>
            <w:vAlign w:val="center"/>
          </w:tcPr>
          <w:p w:rsidR="00913B89" w:rsidRDefault="00913B89" w:rsidP="009E0059">
            <w:pPr>
              <w:widowControl/>
              <w:spacing w:line="24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备注：报名本项目时，供应商须明确所投包号。</w:t>
            </w:r>
          </w:p>
        </w:tc>
      </w:tr>
    </w:tbl>
    <w:p w:rsidR="005E03D9" w:rsidRDefault="005E03D9">
      <w:bookmarkStart w:id="3" w:name="_GoBack"/>
      <w:bookmarkEnd w:id="3"/>
    </w:p>
    <w:sectPr w:rsidR="005E03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FE9D1"/>
    <w:multiLevelType w:val="singleLevel"/>
    <w:tmpl w:val="CD827AF4"/>
    <w:lvl w:ilvl="0">
      <w:start w:val="1"/>
      <w:numFmt w:val="chineseCounting"/>
      <w:suff w:val="nothing"/>
      <w:lvlText w:val="%1、"/>
      <w:lvlJc w:val="left"/>
      <w:pPr>
        <w:ind w:left="410"/>
      </w:pPr>
      <w:rPr>
        <w:rFonts w:cs="Times New Roman"/>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89"/>
    <w:rsid w:val="005E03D9"/>
    <w:rsid w:val="0091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463A"/>
  <w15:chartTrackingRefBased/>
  <w15:docId w15:val="{62E1724C-DBF9-40E0-9A1D-B24E19B6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913B89"/>
    <w:pPr>
      <w:widowControl w:val="0"/>
      <w:spacing w:line="360" w:lineRule="auto"/>
      <w:jc w:val="both"/>
    </w:pPr>
    <w:rPr>
      <w:rFonts w:ascii="Calibri" w:eastAsia="微软雅黑" w:hAnsi="Calibri" w:cs="Times New Roman"/>
      <w:szCs w:val="24"/>
    </w:rPr>
  </w:style>
  <w:style w:type="paragraph" w:styleId="2">
    <w:name w:val="heading 2"/>
    <w:basedOn w:val="a"/>
    <w:next w:val="a"/>
    <w:link w:val="20"/>
    <w:qFormat/>
    <w:rsid w:val="00913B89"/>
    <w:pPr>
      <w:keepNext/>
      <w:keepLines/>
      <w:spacing w:beforeLines="50" w:afterLines="50"/>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913B89"/>
    <w:rPr>
      <w:rFonts w:ascii="Calibri" w:eastAsia="微软雅黑" w:hAnsi="Calibri" w:cs="Times New Roman"/>
      <w:b/>
      <w:bCs/>
      <w:szCs w:val="32"/>
    </w:rPr>
  </w:style>
  <w:style w:type="paragraph" w:styleId="1">
    <w:name w:val="toc 1"/>
    <w:basedOn w:val="a"/>
    <w:next w:val="a"/>
    <w:autoRedefine/>
    <w:uiPriority w:val="39"/>
    <w:semiHidden/>
    <w:unhideWhenUsed/>
    <w:rsid w:val="00913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Yunbo Wei</dc:creator>
  <cp:keywords/>
  <dc:description/>
  <cp:lastModifiedBy>Yunbo Wei</cp:lastModifiedBy>
  <cp:revision>1</cp:revision>
  <dcterms:created xsi:type="dcterms:W3CDTF">2022-12-08T05:50:00Z</dcterms:created>
  <dcterms:modified xsi:type="dcterms:W3CDTF">2022-12-08T05:51:00Z</dcterms:modified>
</cp:coreProperties>
</file>