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line="240" w:lineRule="auto"/>
        <w:ind w:leftChars="0"/>
        <w:jc w:val="center"/>
        <w:rPr>
          <w:rFonts w:ascii="宋体" w:hAnsi="宋体"/>
          <w:color w:val="000000"/>
          <w:sz w:val="36"/>
          <w:szCs w:val="36"/>
          <w:highlight w:val="none"/>
        </w:rPr>
      </w:pPr>
      <w:bookmarkStart w:id="0" w:name="_Toc492987957"/>
      <w:bookmarkStart w:id="1" w:name="_Toc5681"/>
      <w:r>
        <w:rPr>
          <w:rFonts w:hint="eastAsia" w:ascii="宋体" w:hAnsi="宋体"/>
          <w:color w:val="000000"/>
          <w:sz w:val="36"/>
          <w:szCs w:val="36"/>
          <w:highlight w:val="none"/>
        </w:rPr>
        <w:t>采购需求</w:t>
      </w:r>
      <w:bookmarkEnd w:id="0"/>
      <w:bookmarkEnd w:id="1"/>
    </w:p>
    <w:p>
      <w:pPr>
        <w:spacing w:line="360" w:lineRule="auto"/>
        <w:ind w:firstLine="422" w:firstLineChars="200"/>
        <w:outlineLvl w:val="1"/>
        <w:rPr>
          <w:b/>
          <w:bCs/>
          <w:highlight w:val="none"/>
        </w:rPr>
      </w:pPr>
      <w:bookmarkStart w:id="2" w:name="_Toc61854015"/>
      <w:bookmarkStart w:id="3" w:name="_Toc1990"/>
      <w:bookmarkStart w:id="4" w:name="_Toc5915"/>
      <w:r>
        <w:rPr>
          <w:rFonts w:hint="eastAsia"/>
          <w:b/>
          <w:bCs/>
          <w:highlight w:val="none"/>
        </w:rPr>
        <w:t>一、</w:t>
      </w:r>
      <w:bookmarkEnd w:id="2"/>
      <w:bookmarkEnd w:id="3"/>
      <w:r>
        <w:rPr>
          <w:rFonts w:hint="eastAsia"/>
          <w:b/>
          <w:bCs/>
          <w:highlight w:val="none"/>
        </w:rPr>
        <w:t>采购标的需实现的功能或者目标</w:t>
      </w:r>
      <w:bookmarkEnd w:id="4"/>
    </w:p>
    <w:p>
      <w:pPr>
        <w:spacing w:line="360" w:lineRule="auto"/>
        <w:ind w:firstLine="420" w:firstLineChars="200"/>
        <w:rPr>
          <w:highlight w:val="none"/>
        </w:rPr>
      </w:pPr>
      <w:bookmarkStart w:id="5" w:name="_Toc61854018"/>
      <w:bookmarkStart w:id="6" w:name="_Toc10235"/>
      <w:r>
        <w:rPr>
          <w:rFonts w:hint="eastAsia"/>
          <w:highlight w:val="none"/>
        </w:rPr>
        <w:t>安全评价是为了贯彻“安全第一、预防为主、综合治理”方针，提高企业的本质安全程度和安全管理水平，减少和控制该公司运营过程中的危险、有害因素，降低其安全风险，预防事故发生，保护企业的财产安全及人员的健康和生命安全。</w:t>
      </w:r>
    </w:p>
    <w:p>
      <w:pPr>
        <w:spacing w:line="360" w:lineRule="auto"/>
        <w:ind w:firstLine="422" w:firstLineChars="200"/>
        <w:rPr>
          <w:b/>
          <w:bCs/>
          <w:highlight w:val="none"/>
        </w:rPr>
      </w:pPr>
      <w:r>
        <w:rPr>
          <w:rFonts w:hint="eastAsia"/>
          <w:b/>
          <w:bCs/>
          <w:highlight w:val="none"/>
        </w:rPr>
        <w:t>本次安全评价力求达到如下目标：</w:t>
      </w:r>
    </w:p>
    <w:p>
      <w:pPr>
        <w:spacing w:line="360" w:lineRule="auto"/>
        <w:ind w:firstLine="420" w:firstLineChars="200"/>
        <w:rPr>
          <w:highlight w:val="none"/>
        </w:rPr>
      </w:pPr>
      <w:r>
        <w:rPr>
          <w:rFonts w:hint="eastAsia"/>
          <w:highlight w:val="none"/>
        </w:rPr>
        <w:t>1）</w:t>
      </w:r>
      <w:r>
        <w:rPr>
          <w:rFonts w:hint="eastAsia"/>
          <w:highlight w:val="none"/>
        </w:rPr>
        <w:tab/>
      </w:r>
      <w:r>
        <w:rPr>
          <w:rFonts w:hint="eastAsia"/>
          <w:highlight w:val="none"/>
        </w:rPr>
        <w:t>查找、辨识和分析相关单位运营过程中可能存在的危险、有害因素、危害后果及其程度，评价其对危险有害因素所釆取的安全技术措施是否合理、有效。</w:t>
      </w:r>
    </w:p>
    <w:p>
      <w:pPr>
        <w:spacing w:line="360" w:lineRule="auto"/>
        <w:ind w:firstLine="420" w:firstLineChars="200"/>
        <w:rPr>
          <w:highlight w:val="none"/>
        </w:rPr>
      </w:pPr>
      <w:r>
        <w:rPr>
          <w:rFonts w:hint="eastAsia"/>
          <w:highlight w:val="none"/>
        </w:rPr>
        <w:t>2）</w:t>
      </w:r>
      <w:r>
        <w:rPr>
          <w:rFonts w:hint="eastAsia"/>
          <w:highlight w:val="none"/>
        </w:rPr>
        <w:tab/>
      </w:r>
      <w:r>
        <w:rPr>
          <w:rFonts w:hint="eastAsia"/>
          <w:highlight w:val="none"/>
        </w:rPr>
        <w:t>判断相关单位在用气安全上的符合性和配套安全设施的有效性，提出保障安全生产的相关对策措施，以实现安全生产目标。根据分析评价的结果，提出保障安全生产的相关对策措施。</w:t>
      </w:r>
    </w:p>
    <w:p>
      <w:pPr>
        <w:spacing w:line="360" w:lineRule="auto"/>
        <w:ind w:firstLine="420" w:firstLineChars="200"/>
        <w:rPr>
          <w:highlight w:val="none"/>
        </w:rPr>
      </w:pPr>
      <w:r>
        <w:rPr>
          <w:rFonts w:hint="eastAsia"/>
          <w:highlight w:val="none"/>
        </w:rPr>
        <w:t>3）</w:t>
      </w:r>
      <w:r>
        <w:rPr>
          <w:rFonts w:hint="eastAsia"/>
          <w:highlight w:val="none"/>
        </w:rPr>
        <w:tab/>
      </w:r>
      <w:r>
        <w:rPr>
          <w:rFonts w:hint="eastAsia"/>
          <w:highlight w:val="none"/>
        </w:rPr>
        <w:t>通过本次安全评价，对相关单位生产过程的有关安全生产条件是否符合有关法律、法规和国家标准或行业标准，提出综合性的意见。对其生产过程中存在的安全隐患提出安全技术措施，减少 和控制生产过程中事故的发生，降低生产安全风险，提高本质安全化程度和安全生产管理水平。</w:t>
      </w:r>
    </w:p>
    <w:p>
      <w:pPr>
        <w:spacing w:line="360" w:lineRule="auto"/>
        <w:ind w:firstLine="422" w:firstLineChars="200"/>
        <w:outlineLvl w:val="1"/>
        <w:rPr>
          <w:b/>
          <w:bCs/>
          <w:highlight w:val="none"/>
        </w:rPr>
      </w:pPr>
      <w:bookmarkStart w:id="7" w:name="_Toc31169"/>
      <w:r>
        <w:rPr>
          <w:rFonts w:hint="eastAsia"/>
          <w:b/>
          <w:bCs/>
          <w:highlight w:val="none"/>
        </w:rPr>
        <w:t>二、项目主要商务要求</w:t>
      </w:r>
      <w:bookmarkEnd w:id="5"/>
      <w:bookmarkEnd w:id="6"/>
      <w:bookmarkEnd w:id="7"/>
    </w:p>
    <w:p>
      <w:pPr>
        <w:spacing w:line="360" w:lineRule="auto"/>
        <w:ind w:firstLine="422" w:firstLineChars="200"/>
        <w:outlineLvl w:val="2"/>
        <w:rPr>
          <w:rFonts w:hint="eastAsia"/>
          <w:b/>
          <w:bCs/>
          <w:highlight w:val="none"/>
        </w:rPr>
      </w:pPr>
      <w:bookmarkStart w:id="8" w:name="_Toc6033"/>
      <w:bookmarkStart w:id="9" w:name="_Toc61854019"/>
      <w:bookmarkStart w:id="10" w:name="_Toc1978"/>
      <w:r>
        <w:rPr>
          <w:rFonts w:hint="eastAsia"/>
          <w:b/>
          <w:bCs/>
          <w:highlight w:val="none"/>
        </w:rPr>
        <w:t>★（一）预算金额：</w:t>
      </w:r>
      <w:bookmarkEnd w:id="8"/>
      <w:bookmarkEnd w:id="9"/>
    </w:p>
    <w:p>
      <w:pPr>
        <w:spacing w:line="360" w:lineRule="auto"/>
        <w:ind w:firstLine="420" w:firstLineChars="200"/>
        <w:outlineLvl w:val="9"/>
        <w:rPr>
          <w:b/>
          <w:bCs/>
          <w:highlight w:val="none"/>
        </w:rPr>
      </w:pPr>
      <w:r>
        <w:rPr>
          <w:rFonts w:hint="eastAsia"/>
          <w:highlight w:val="none"/>
        </w:rPr>
        <w:t>人民币382.98万元；</w:t>
      </w:r>
    </w:p>
    <w:p>
      <w:pPr>
        <w:spacing w:line="360" w:lineRule="auto"/>
        <w:ind w:firstLine="420" w:firstLineChars="200"/>
        <w:rPr>
          <w:highlight w:val="none"/>
        </w:rPr>
      </w:pPr>
      <w:r>
        <w:rPr>
          <w:rFonts w:hint="eastAsia"/>
          <w:highlight w:val="none"/>
        </w:rPr>
        <w:t xml:space="preserve">1包：预算金额：人民币172.98万元； </w:t>
      </w:r>
    </w:p>
    <w:p>
      <w:pPr>
        <w:spacing w:line="360" w:lineRule="auto"/>
        <w:ind w:firstLine="420" w:firstLineChars="200"/>
        <w:rPr>
          <w:highlight w:val="none"/>
        </w:rPr>
      </w:pPr>
      <w:r>
        <w:rPr>
          <w:rFonts w:hint="eastAsia"/>
          <w:highlight w:val="none"/>
        </w:rPr>
        <w:t>2包：预算金额：人民币122.4万元；</w:t>
      </w:r>
    </w:p>
    <w:p>
      <w:pPr>
        <w:spacing w:line="360" w:lineRule="auto"/>
        <w:ind w:firstLine="420" w:firstLineChars="200"/>
        <w:rPr>
          <w:highlight w:val="none"/>
        </w:rPr>
      </w:pPr>
      <w:r>
        <w:rPr>
          <w:rFonts w:hint="eastAsia"/>
          <w:highlight w:val="none"/>
        </w:rPr>
        <w:t>3包：预算金额：人民币87.6万元；</w:t>
      </w:r>
    </w:p>
    <w:p>
      <w:pPr>
        <w:spacing w:line="360" w:lineRule="auto"/>
        <w:ind w:firstLine="420" w:firstLineChars="200"/>
        <w:rPr>
          <w:highlight w:val="none"/>
        </w:rPr>
      </w:pPr>
      <w:r>
        <w:rPr>
          <w:rFonts w:hint="eastAsia"/>
          <w:highlight w:val="none"/>
        </w:rPr>
        <w:t>磋商报价超各包预算价为无效报价。</w:t>
      </w:r>
      <w:bookmarkEnd w:id="10"/>
    </w:p>
    <w:p>
      <w:pPr>
        <w:spacing w:line="360" w:lineRule="auto"/>
        <w:ind w:firstLine="422" w:firstLineChars="200"/>
        <w:outlineLvl w:val="2"/>
        <w:rPr>
          <w:b/>
          <w:bCs/>
          <w:highlight w:val="none"/>
        </w:rPr>
      </w:pPr>
      <w:bookmarkStart w:id="11" w:name="_Toc19212"/>
      <w:bookmarkStart w:id="12" w:name="_Toc61854020"/>
      <w:bookmarkStart w:id="13" w:name="_Toc22472"/>
      <w:r>
        <w:rPr>
          <w:rFonts w:hint="eastAsia"/>
          <w:b/>
          <w:bCs/>
          <w:highlight w:val="none"/>
        </w:rPr>
        <w:t>★（二）服务期：</w:t>
      </w:r>
      <w:bookmarkEnd w:id="11"/>
      <w:bookmarkEnd w:id="12"/>
    </w:p>
    <w:p>
      <w:pPr>
        <w:spacing w:line="360" w:lineRule="auto"/>
        <w:ind w:firstLine="420" w:firstLineChars="200"/>
        <w:rPr>
          <w:rFonts w:hint="eastAsia" w:eastAsia="宋体"/>
          <w:highlight w:val="none"/>
          <w:lang w:eastAsia="zh-CN"/>
        </w:rPr>
      </w:pPr>
      <w:r>
        <w:rPr>
          <w:rFonts w:hint="eastAsia"/>
          <w:highlight w:val="none"/>
        </w:rPr>
        <w:t>合同签订之日起90天内完成相关服务。</w:t>
      </w:r>
      <w:bookmarkEnd w:id="13"/>
      <w:r>
        <w:rPr>
          <w:rFonts w:hint="eastAsia"/>
          <w:highlight w:val="none"/>
        </w:rPr>
        <w:t>评价后服务驻场人员服务</w:t>
      </w:r>
      <w:r>
        <w:rPr>
          <w:rFonts w:hint="eastAsia"/>
          <w:highlight w:val="none"/>
          <w:lang w:val="en-US" w:eastAsia="zh-CN"/>
        </w:rPr>
        <w:t>期限</w:t>
      </w:r>
      <w:r>
        <w:rPr>
          <w:rFonts w:hint="eastAsia"/>
          <w:highlight w:val="none"/>
        </w:rPr>
        <w:t>1年</w:t>
      </w:r>
      <w:r>
        <w:rPr>
          <w:rFonts w:hint="eastAsia"/>
          <w:highlight w:val="none"/>
          <w:lang w:eastAsia="zh-CN"/>
        </w:rPr>
        <w:t>。</w:t>
      </w:r>
    </w:p>
    <w:p>
      <w:pPr>
        <w:spacing w:line="360" w:lineRule="auto"/>
        <w:ind w:firstLine="422" w:firstLineChars="200"/>
        <w:outlineLvl w:val="2"/>
        <w:rPr>
          <w:b/>
          <w:bCs/>
          <w:highlight w:val="none"/>
        </w:rPr>
      </w:pPr>
      <w:bookmarkStart w:id="14" w:name="_Toc12105"/>
      <w:bookmarkStart w:id="15" w:name="_Toc61854021"/>
      <w:bookmarkStart w:id="16" w:name="_Toc2098"/>
      <w:r>
        <w:rPr>
          <w:rFonts w:hint="eastAsia"/>
          <w:b/>
          <w:bCs/>
          <w:highlight w:val="none"/>
        </w:rPr>
        <w:t>（三）服务地点：</w:t>
      </w:r>
      <w:bookmarkEnd w:id="14"/>
      <w:bookmarkEnd w:id="15"/>
    </w:p>
    <w:p>
      <w:pPr>
        <w:spacing w:line="360" w:lineRule="auto"/>
        <w:ind w:firstLine="420" w:firstLineChars="200"/>
        <w:rPr>
          <w:highlight w:val="none"/>
        </w:rPr>
      </w:pPr>
      <w:r>
        <w:rPr>
          <w:rFonts w:hint="eastAsia"/>
          <w:highlight w:val="none"/>
        </w:rPr>
        <w:t>按采购人要求</w:t>
      </w:r>
      <w:bookmarkEnd w:id="16"/>
      <w:r>
        <w:rPr>
          <w:rFonts w:hint="eastAsia"/>
          <w:highlight w:val="none"/>
        </w:rPr>
        <w:t>。供应商须提供承诺，为保证本项目采购工作的时效性及质量保证，提高项目的履约质量，项目实施阶段，供应商须在项目实施地点安排办公场所。若未按照承诺执行，采购人依照采购文件及相关规定进行处理，由此带来的一切损失，由成交供应商负责。</w:t>
      </w:r>
    </w:p>
    <w:p>
      <w:pPr>
        <w:spacing w:line="360" w:lineRule="auto"/>
        <w:ind w:firstLine="422" w:firstLineChars="200"/>
        <w:outlineLvl w:val="2"/>
        <w:rPr>
          <w:b/>
          <w:bCs/>
          <w:highlight w:val="none"/>
        </w:rPr>
      </w:pPr>
      <w:bookmarkStart w:id="17" w:name="_Toc61854022"/>
      <w:bookmarkStart w:id="18" w:name="_Toc22066"/>
      <w:bookmarkStart w:id="19" w:name="_Toc2531"/>
      <w:r>
        <w:rPr>
          <w:rFonts w:hint="eastAsia"/>
          <w:b/>
          <w:bCs/>
          <w:highlight w:val="none"/>
        </w:rPr>
        <w:t>（四）付款方式：</w:t>
      </w:r>
      <w:bookmarkEnd w:id="17"/>
      <w:bookmarkEnd w:id="18"/>
      <w:bookmarkEnd w:id="19"/>
    </w:p>
    <w:p>
      <w:pPr>
        <w:spacing w:line="360" w:lineRule="auto"/>
        <w:ind w:firstLine="420" w:firstLineChars="200"/>
        <w:rPr>
          <w:highlight w:val="none"/>
        </w:rPr>
      </w:pPr>
      <w:bookmarkStart w:id="20" w:name="_Toc24728"/>
      <w:r>
        <w:rPr>
          <w:rFonts w:hint="eastAsia"/>
          <w:highlight w:val="none"/>
        </w:rPr>
        <w:t>合同签订后支付合同金额的30%，完成所有合同内评价内容，并经专家评审通过后支付合同金额的50%，验收完成、移交所有资料、驻场人员按要求完成一年期评价后服务后一次性支付剩余尾款。</w:t>
      </w:r>
      <w:bookmarkEnd w:id="20"/>
    </w:p>
    <w:p>
      <w:pPr>
        <w:spacing w:line="360" w:lineRule="auto"/>
        <w:ind w:firstLine="422" w:firstLineChars="200"/>
        <w:outlineLvl w:val="1"/>
        <w:rPr>
          <w:b/>
          <w:bCs/>
          <w:highlight w:val="none"/>
        </w:rPr>
        <w:sectPr>
          <w:headerReference r:id="rId3" w:type="default"/>
          <w:footerReference r:id="rId4" w:type="default"/>
          <w:pgSz w:w="11906" w:h="16838"/>
          <w:pgMar w:top="1417" w:right="1417" w:bottom="1417" w:left="1417" w:header="851" w:footer="992" w:gutter="0"/>
          <w:cols w:space="720" w:num="1"/>
          <w:docGrid w:type="lines" w:linePitch="312" w:charSpace="0"/>
        </w:sectPr>
      </w:pPr>
      <w:bookmarkStart w:id="21" w:name="_Toc23977"/>
      <w:bookmarkStart w:id="22" w:name="_Toc61854023"/>
    </w:p>
    <w:p>
      <w:pPr>
        <w:spacing w:line="360" w:lineRule="auto"/>
        <w:ind w:firstLine="422" w:firstLineChars="200"/>
        <w:outlineLvl w:val="1"/>
        <w:rPr>
          <w:b/>
          <w:bCs/>
          <w:highlight w:val="none"/>
        </w:rPr>
      </w:pPr>
      <w:bookmarkStart w:id="23" w:name="_Toc14218"/>
      <w:r>
        <w:rPr>
          <w:rFonts w:hint="eastAsia"/>
          <w:b/>
          <w:bCs/>
          <w:highlight w:val="none"/>
        </w:rPr>
        <w:t>三、项目主要技术要求</w:t>
      </w:r>
      <w:bookmarkEnd w:id="21"/>
      <w:bookmarkEnd w:id="22"/>
      <w:bookmarkEnd w:id="23"/>
    </w:p>
    <w:p>
      <w:pPr>
        <w:numPr>
          <w:ilvl w:val="0"/>
          <w:numId w:val="1"/>
        </w:numPr>
        <w:spacing w:line="360" w:lineRule="auto"/>
        <w:outlineLvl w:val="2"/>
        <w:rPr>
          <w:b/>
          <w:bCs/>
          <w:highlight w:val="none"/>
        </w:rPr>
      </w:pPr>
      <w:bookmarkStart w:id="24" w:name="_Toc24188"/>
      <w:bookmarkStart w:id="25" w:name="_Toc4880"/>
      <w:r>
        <w:rPr>
          <w:rFonts w:hint="eastAsia"/>
          <w:b/>
          <w:bCs/>
          <w:highlight w:val="none"/>
        </w:rPr>
        <w:t>评价范围：</w:t>
      </w:r>
      <w:bookmarkEnd w:id="24"/>
    </w:p>
    <w:p>
      <w:pPr>
        <w:spacing w:line="360" w:lineRule="auto"/>
        <w:ind w:firstLine="422" w:firstLineChars="200"/>
        <w:rPr>
          <w:b/>
          <w:bCs/>
          <w:highlight w:val="none"/>
        </w:rPr>
      </w:pPr>
      <w:r>
        <w:rPr>
          <w:rFonts w:hint="eastAsia"/>
          <w:b/>
          <w:bCs/>
          <w:highlight w:val="none"/>
        </w:rPr>
        <w:t>第1包：</w:t>
      </w:r>
      <w:bookmarkEnd w:id="25"/>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3"/>
        <w:gridCol w:w="2141"/>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7" w:type="dxa"/>
            <w:vAlign w:val="center"/>
          </w:tcPr>
          <w:p>
            <w:pPr>
              <w:jc w:val="center"/>
              <w:rPr>
                <w:rFonts w:ascii="宋体" w:hAnsi="宋体" w:cs="宋体"/>
                <w:b/>
                <w:bCs/>
                <w:szCs w:val="21"/>
                <w:highlight w:val="none"/>
              </w:rPr>
            </w:pPr>
            <w:r>
              <w:rPr>
                <w:rFonts w:hint="eastAsia" w:ascii="宋体" w:hAnsi="宋体" w:cs="宋体"/>
                <w:b/>
                <w:bCs/>
                <w:szCs w:val="21"/>
                <w:highlight w:val="none"/>
              </w:rPr>
              <w:t>序号</w:t>
            </w:r>
          </w:p>
        </w:tc>
        <w:tc>
          <w:tcPr>
            <w:tcW w:w="2563" w:type="dxa"/>
            <w:vAlign w:val="center"/>
          </w:tcPr>
          <w:p>
            <w:pPr>
              <w:jc w:val="center"/>
              <w:rPr>
                <w:rFonts w:ascii="宋体" w:hAnsi="宋体" w:cs="宋体"/>
                <w:b/>
                <w:bCs/>
                <w:szCs w:val="21"/>
                <w:highlight w:val="none"/>
              </w:rPr>
            </w:pPr>
            <w:r>
              <w:rPr>
                <w:rFonts w:hint="eastAsia" w:ascii="宋体" w:hAnsi="宋体" w:cs="宋体"/>
                <w:b/>
                <w:bCs/>
                <w:szCs w:val="21"/>
                <w:highlight w:val="none"/>
              </w:rPr>
              <w:t>内容</w:t>
            </w:r>
          </w:p>
        </w:tc>
        <w:tc>
          <w:tcPr>
            <w:tcW w:w="2141" w:type="dxa"/>
            <w:vAlign w:val="center"/>
          </w:tcPr>
          <w:p>
            <w:pPr>
              <w:jc w:val="center"/>
              <w:rPr>
                <w:rFonts w:ascii="宋体" w:hAnsi="宋体" w:cs="宋体"/>
                <w:b/>
                <w:bCs/>
                <w:szCs w:val="21"/>
                <w:highlight w:val="none"/>
              </w:rPr>
            </w:pPr>
            <w:r>
              <w:rPr>
                <w:rFonts w:hint="eastAsia" w:ascii="宋体" w:hAnsi="宋体" w:cs="宋体"/>
                <w:b/>
                <w:bCs/>
                <w:szCs w:val="21"/>
                <w:highlight w:val="none"/>
              </w:rPr>
              <w:t>企业数量</w:t>
            </w:r>
          </w:p>
        </w:tc>
        <w:tc>
          <w:tcPr>
            <w:tcW w:w="3757" w:type="dxa"/>
            <w:vAlign w:val="center"/>
          </w:tcPr>
          <w:p>
            <w:pPr>
              <w:jc w:val="center"/>
              <w:rPr>
                <w:rFonts w:ascii="宋体" w:hAnsi="宋体" w:cs="宋体"/>
                <w:b/>
                <w:bCs/>
                <w:szCs w:val="21"/>
                <w:highlight w:val="none"/>
              </w:rPr>
            </w:pPr>
            <w:r>
              <w:rPr>
                <w:rFonts w:hint="eastAsia" w:ascii="宋体" w:hAnsi="宋体" w:cs="宋体"/>
                <w:b/>
                <w:bCs/>
                <w:szCs w:val="21"/>
                <w:highlight w:val="none"/>
              </w:rPr>
              <w:t>检查主要工作内容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7"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2563" w:type="dxa"/>
            <w:vAlign w:val="center"/>
          </w:tcPr>
          <w:p>
            <w:pPr>
              <w:jc w:val="center"/>
              <w:rPr>
                <w:rFonts w:ascii="宋体" w:hAnsi="宋体" w:cs="宋体"/>
                <w:szCs w:val="21"/>
                <w:highlight w:val="none"/>
              </w:rPr>
            </w:pPr>
            <w:r>
              <w:rPr>
                <w:rFonts w:hint="eastAsia" w:ascii="宋体" w:hAnsi="宋体" w:cs="宋体"/>
                <w:szCs w:val="21"/>
                <w:highlight w:val="none"/>
              </w:rPr>
              <w:t>管道气企业现状评价</w:t>
            </w:r>
          </w:p>
        </w:tc>
        <w:tc>
          <w:tcPr>
            <w:tcW w:w="2141" w:type="dxa"/>
            <w:vAlign w:val="center"/>
          </w:tcPr>
          <w:p>
            <w:pPr>
              <w:jc w:val="center"/>
              <w:rPr>
                <w:rFonts w:ascii="宋体" w:hAnsi="宋体" w:cs="宋体"/>
                <w:szCs w:val="21"/>
                <w:highlight w:val="none"/>
              </w:rPr>
            </w:pPr>
            <w:r>
              <w:rPr>
                <w:rFonts w:hint="eastAsia" w:ascii="宋体" w:hAnsi="宋体" w:cs="宋体"/>
                <w:szCs w:val="21"/>
                <w:highlight w:val="none"/>
              </w:rPr>
              <w:t>17家</w:t>
            </w:r>
          </w:p>
        </w:tc>
        <w:tc>
          <w:tcPr>
            <w:tcW w:w="3757" w:type="dxa"/>
            <w:vAlign w:val="center"/>
          </w:tcPr>
          <w:p>
            <w:pPr>
              <w:jc w:val="left"/>
              <w:rPr>
                <w:rFonts w:ascii="宋体" w:hAnsi="宋体" w:cs="宋体"/>
                <w:szCs w:val="21"/>
                <w:highlight w:val="none"/>
              </w:rPr>
            </w:pPr>
            <w:r>
              <w:rPr>
                <w:rFonts w:hint="eastAsia"/>
                <w:highlight w:val="none"/>
              </w:rPr>
              <w:t>按照《燃气系统运行安全评价标准》（ GBT 508112012）等一系列安全评价、安全管理相关标准及要求对17家管道气企业经营许可、运营管理、安全生产主体责任落实，及其各类场站设施、管网输配系统、用户使用设施等安全运维管理进行安全评价，根据评价需求开展现场检查。其中：现场检查包括对93座场站设施全覆盖检查、抽查不少于85个重要点位或管段（每家企业不少于5 个）和不少于85户工商业用户（每家企业不少于5户）等，供应商根据评价工作需要，增加抽查点位。</w:t>
            </w:r>
          </w:p>
        </w:tc>
      </w:tr>
    </w:tbl>
    <w:p>
      <w:pPr>
        <w:spacing w:line="360" w:lineRule="auto"/>
        <w:ind w:firstLine="422" w:firstLineChars="200"/>
        <w:rPr>
          <w:highlight w:val="none"/>
        </w:rPr>
      </w:pPr>
      <w:bookmarkStart w:id="26" w:name="_Toc18589"/>
      <w:r>
        <w:rPr>
          <w:rFonts w:hint="eastAsia"/>
          <w:b/>
          <w:bCs/>
          <w:highlight w:val="none"/>
        </w:rPr>
        <w:t>第2包：</w:t>
      </w:r>
      <w:bookmarkEnd w:id="26"/>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67"/>
        <w:gridCol w:w="2137"/>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7" w:type="dxa"/>
            <w:vAlign w:val="center"/>
          </w:tcPr>
          <w:p>
            <w:pPr>
              <w:jc w:val="center"/>
              <w:rPr>
                <w:rFonts w:ascii="宋体" w:hAnsi="宋体" w:cs="宋体"/>
                <w:b/>
                <w:bCs/>
                <w:szCs w:val="21"/>
                <w:highlight w:val="none"/>
              </w:rPr>
            </w:pPr>
            <w:bookmarkStart w:id="27" w:name="_Toc17499"/>
            <w:r>
              <w:rPr>
                <w:rFonts w:hint="eastAsia" w:ascii="宋体" w:hAnsi="宋体" w:cs="宋体"/>
                <w:b/>
                <w:bCs/>
                <w:szCs w:val="21"/>
                <w:highlight w:val="none"/>
              </w:rPr>
              <w:t>序号</w:t>
            </w:r>
          </w:p>
        </w:tc>
        <w:tc>
          <w:tcPr>
            <w:tcW w:w="2567" w:type="dxa"/>
            <w:vAlign w:val="center"/>
          </w:tcPr>
          <w:p>
            <w:pPr>
              <w:jc w:val="center"/>
              <w:rPr>
                <w:rFonts w:ascii="宋体" w:hAnsi="宋体" w:cs="宋体"/>
                <w:b/>
                <w:bCs/>
                <w:szCs w:val="21"/>
                <w:highlight w:val="none"/>
              </w:rPr>
            </w:pPr>
            <w:r>
              <w:rPr>
                <w:rFonts w:hint="eastAsia" w:ascii="宋体" w:hAnsi="宋体" w:cs="宋体"/>
                <w:b/>
                <w:bCs/>
                <w:szCs w:val="21"/>
                <w:highlight w:val="none"/>
              </w:rPr>
              <w:t>内容</w:t>
            </w:r>
          </w:p>
        </w:tc>
        <w:tc>
          <w:tcPr>
            <w:tcW w:w="2137" w:type="dxa"/>
            <w:vAlign w:val="center"/>
          </w:tcPr>
          <w:p>
            <w:pPr>
              <w:jc w:val="center"/>
              <w:rPr>
                <w:rFonts w:ascii="宋体" w:hAnsi="宋体" w:cs="宋体"/>
                <w:b/>
                <w:bCs/>
                <w:szCs w:val="21"/>
                <w:highlight w:val="none"/>
              </w:rPr>
            </w:pPr>
            <w:r>
              <w:rPr>
                <w:rFonts w:hint="eastAsia" w:ascii="宋体" w:hAnsi="宋体" w:cs="宋体"/>
                <w:b/>
                <w:bCs/>
                <w:szCs w:val="21"/>
                <w:highlight w:val="none"/>
              </w:rPr>
              <w:t>检查主要工作内容</w:t>
            </w:r>
          </w:p>
        </w:tc>
        <w:tc>
          <w:tcPr>
            <w:tcW w:w="3757" w:type="dxa"/>
            <w:vAlign w:val="center"/>
          </w:tcPr>
          <w:p>
            <w:pPr>
              <w:jc w:val="center"/>
              <w:rPr>
                <w:rFonts w:ascii="宋体" w:hAnsi="宋体" w:cs="宋体"/>
                <w:b/>
                <w:bCs/>
                <w:szCs w:val="21"/>
                <w:highlight w:val="none"/>
              </w:rPr>
            </w:pPr>
            <w:r>
              <w:rPr>
                <w:rFonts w:hint="eastAsia" w:ascii="宋体" w:hAnsi="宋体" w:cs="宋体"/>
                <w:b/>
                <w:bCs/>
                <w:szCs w:val="21"/>
                <w:highlight w:val="none"/>
              </w:rPr>
              <w:t>检查主要工作内容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7"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2567" w:type="dxa"/>
            <w:vAlign w:val="center"/>
          </w:tcPr>
          <w:p>
            <w:pPr>
              <w:jc w:val="center"/>
              <w:rPr>
                <w:rFonts w:ascii="宋体" w:hAnsi="宋体" w:cs="宋体"/>
                <w:szCs w:val="21"/>
                <w:highlight w:val="none"/>
              </w:rPr>
            </w:pPr>
            <w:r>
              <w:rPr>
                <w:rFonts w:hint="eastAsia" w:ascii="宋体" w:hAnsi="宋体" w:cs="宋体"/>
                <w:szCs w:val="21"/>
                <w:highlight w:val="none"/>
              </w:rPr>
              <w:t>瓶装气企业现状评价</w:t>
            </w:r>
          </w:p>
        </w:tc>
        <w:tc>
          <w:tcPr>
            <w:tcW w:w="2137" w:type="dxa"/>
            <w:vAlign w:val="center"/>
          </w:tcPr>
          <w:p>
            <w:pPr>
              <w:jc w:val="center"/>
              <w:rPr>
                <w:rFonts w:ascii="宋体" w:hAnsi="宋体" w:cs="宋体"/>
                <w:szCs w:val="21"/>
                <w:highlight w:val="none"/>
              </w:rPr>
            </w:pPr>
            <w:r>
              <w:rPr>
                <w:rFonts w:hint="eastAsia" w:ascii="宋体" w:hAnsi="宋体" w:cs="宋体"/>
                <w:szCs w:val="21"/>
                <w:highlight w:val="none"/>
              </w:rPr>
              <w:t>47家</w:t>
            </w:r>
          </w:p>
        </w:tc>
        <w:tc>
          <w:tcPr>
            <w:tcW w:w="3757" w:type="dxa"/>
            <w:vAlign w:val="center"/>
          </w:tcPr>
          <w:p>
            <w:pPr>
              <w:jc w:val="left"/>
              <w:rPr>
                <w:rFonts w:ascii="宋体" w:hAnsi="宋体" w:cs="宋体"/>
                <w:szCs w:val="21"/>
                <w:highlight w:val="none"/>
              </w:rPr>
            </w:pPr>
            <w:r>
              <w:rPr>
                <w:rFonts w:hint="eastAsia"/>
                <w:highlight w:val="none"/>
              </w:rPr>
              <w:t>按照《燃气系统运行安全评价标准》（ GBT 508112012）等一系列安全评价、安全管理相关标准及要求对47家瓶装液化石油气企业经营许可、运营管理、安全生产主体责任落实，及其各类场站设施、用户使用设施等安全运维管理进行安全评价，根据评价需求开展现场检查。其中：现场检查包括51座储配站、 抽查不少于160座供应站、抽查不少于235 户工商业用户（每个企业不少于5户）等，供应商根据评价工作需要，增加抽查点位。</w:t>
            </w:r>
          </w:p>
        </w:tc>
      </w:tr>
    </w:tbl>
    <w:p>
      <w:pPr>
        <w:spacing w:line="360" w:lineRule="auto"/>
        <w:ind w:firstLine="422" w:firstLineChars="200"/>
        <w:rPr>
          <w:b/>
          <w:bCs/>
          <w:highlight w:val="none"/>
        </w:rPr>
      </w:pPr>
      <w:r>
        <w:rPr>
          <w:rFonts w:hint="eastAsia"/>
          <w:b/>
          <w:bCs/>
          <w:highlight w:val="none"/>
        </w:rPr>
        <w:t>第3包：</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49"/>
        <w:gridCol w:w="2155"/>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27" w:type="dxa"/>
            <w:vAlign w:val="center"/>
          </w:tcPr>
          <w:p>
            <w:pPr>
              <w:jc w:val="center"/>
              <w:rPr>
                <w:rFonts w:ascii="宋体" w:hAnsi="宋体" w:cs="宋体"/>
                <w:b/>
                <w:bCs/>
                <w:szCs w:val="21"/>
                <w:highlight w:val="none"/>
              </w:rPr>
            </w:pPr>
            <w:r>
              <w:rPr>
                <w:rFonts w:hint="eastAsia" w:ascii="宋体" w:hAnsi="宋体" w:cs="宋体"/>
                <w:b/>
                <w:bCs/>
                <w:szCs w:val="21"/>
                <w:highlight w:val="none"/>
              </w:rPr>
              <w:t>序号</w:t>
            </w:r>
          </w:p>
        </w:tc>
        <w:tc>
          <w:tcPr>
            <w:tcW w:w="2549" w:type="dxa"/>
            <w:vAlign w:val="center"/>
          </w:tcPr>
          <w:p>
            <w:pPr>
              <w:jc w:val="center"/>
              <w:rPr>
                <w:rFonts w:ascii="宋体" w:hAnsi="宋体" w:cs="宋体"/>
                <w:b/>
                <w:bCs/>
                <w:szCs w:val="21"/>
                <w:highlight w:val="none"/>
              </w:rPr>
            </w:pPr>
            <w:r>
              <w:rPr>
                <w:rFonts w:hint="eastAsia" w:ascii="宋体" w:hAnsi="宋体" w:cs="宋体"/>
                <w:b/>
                <w:bCs/>
                <w:szCs w:val="21"/>
                <w:highlight w:val="none"/>
              </w:rPr>
              <w:t>内容</w:t>
            </w:r>
          </w:p>
        </w:tc>
        <w:tc>
          <w:tcPr>
            <w:tcW w:w="2155" w:type="dxa"/>
            <w:vAlign w:val="center"/>
          </w:tcPr>
          <w:p>
            <w:pPr>
              <w:jc w:val="center"/>
              <w:rPr>
                <w:rFonts w:ascii="宋体" w:hAnsi="宋体" w:cs="宋体"/>
                <w:b/>
                <w:bCs/>
                <w:szCs w:val="21"/>
                <w:highlight w:val="none"/>
              </w:rPr>
            </w:pPr>
            <w:r>
              <w:rPr>
                <w:rFonts w:hint="eastAsia" w:ascii="宋体" w:hAnsi="宋体" w:cs="宋体"/>
                <w:b/>
                <w:bCs/>
                <w:szCs w:val="21"/>
                <w:highlight w:val="none"/>
              </w:rPr>
              <w:t>检查主要工作内容</w:t>
            </w:r>
          </w:p>
        </w:tc>
        <w:tc>
          <w:tcPr>
            <w:tcW w:w="3757" w:type="dxa"/>
            <w:vAlign w:val="center"/>
          </w:tcPr>
          <w:p>
            <w:pPr>
              <w:jc w:val="center"/>
              <w:rPr>
                <w:rFonts w:ascii="宋体" w:hAnsi="宋体" w:cs="宋体"/>
                <w:b/>
                <w:bCs/>
                <w:szCs w:val="21"/>
                <w:highlight w:val="none"/>
              </w:rPr>
            </w:pPr>
            <w:r>
              <w:rPr>
                <w:rFonts w:hint="eastAsia" w:ascii="宋体" w:hAnsi="宋体" w:cs="宋体"/>
                <w:b/>
                <w:bCs/>
                <w:szCs w:val="21"/>
                <w:highlight w:val="none"/>
              </w:rPr>
              <w:t>检查主要工作内容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27" w:type="dxa"/>
          </w:tcPr>
          <w:p>
            <w:pPr>
              <w:jc w:val="center"/>
              <w:rPr>
                <w:rFonts w:ascii="宋体" w:hAnsi="宋体" w:cs="宋体"/>
                <w:szCs w:val="21"/>
                <w:highlight w:val="none"/>
              </w:rPr>
            </w:pPr>
            <w:r>
              <w:rPr>
                <w:rFonts w:hint="eastAsia" w:ascii="宋体" w:hAnsi="宋体" w:cs="宋体"/>
                <w:szCs w:val="21"/>
                <w:highlight w:val="none"/>
              </w:rPr>
              <w:t>1</w:t>
            </w:r>
          </w:p>
        </w:tc>
        <w:tc>
          <w:tcPr>
            <w:tcW w:w="2549" w:type="dxa"/>
            <w:vAlign w:val="center"/>
          </w:tcPr>
          <w:p>
            <w:pPr>
              <w:jc w:val="center"/>
              <w:rPr>
                <w:rFonts w:ascii="宋体" w:hAnsi="宋体" w:cs="宋体"/>
                <w:szCs w:val="21"/>
                <w:highlight w:val="none"/>
              </w:rPr>
            </w:pPr>
            <w:r>
              <w:rPr>
                <w:rFonts w:hint="eastAsia" w:ascii="宋体" w:hAnsi="宋体" w:cs="宋体"/>
                <w:szCs w:val="21"/>
                <w:highlight w:val="none"/>
              </w:rPr>
              <w:t>汽车加气企业现状评价</w:t>
            </w:r>
          </w:p>
        </w:tc>
        <w:tc>
          <w:tcPr>
            <w:tcW w:w="2155" w:type="dxa"/>
            <w:vAlign w:val="center"/>
          </w:tcPr>
          <w:p>
            <w:pPr>
              <w:jc w:val="center"/>
              <w:rPr>
                <w:rFonts w:ascii="宋体" w:hAnsi="宋体" w:cs="宋体"/>
                <w:szCs w:val="21"/>
                <w:highlight w:val="none"/>
              </w:rPr>
            </w:pPr>
            <w:r>
              <w:rPr>
                <w:rFonts w:hint="eastAsia" w:ascii="宋体" w:hAnsi="宋体" w:cs="宋体"/>
                <w:szCs w:val="21"/>
                <w:highlight w:val="none"/>
              </w:rPr>
              <w:t>19家</w:t>
            </w:r>
          </w:p>
        </w:tc>
        <w:tc>
          <w:tcPr>
            <w:tcW w:w="3757" w:type="dxa"/>
          </w:tcPr>
          <w:p>
            <w:pPr>
              <w:jc w:val="left"/>
              <w:rPr>
                <w:rFonts w:ascii="宋体" w:hAnsi="宋体" w:cs="宋体"/>
                <w:szCs w:val="21"/>
                <w:highlight w:val="none"/>
              </w:rPr>
            </w:pPr>
            <w:r>
              <w:rPr>
                <w:rFonts w:hint="eastAsia"/>
                <w:highlight w:val="none"/>
              </w:rPr>
              <w:t>按照《燃气系统运行安全评价标准》（ GBT 508112012）等一系列安全评价、安全管理相关标准及要求对19家汽车加气企业经营许可、运营管理、安全生产主体责任落实，及其各类场站设施等安全运维管理进行安全评价，根据评价需求开展现场检查。其中：现场检查包括73座加气站。</w:t>
            </w:r>
          </w:p>
        </w:tc>
      </w:tr>
    </w:tbl>
    <w:p>
      <w:pPr>
        <w:numPr>
          <w:ilvl w:val="0"/>
          <w:numId w:val="1"/>
        </w:numPr>
        <w:spacing w:line="360" w:lineRule="auto"/>
        <w:outlineLvl w:val="2"/>
        <w:rPr>
          <w:b/>
          <w:bCs/>
          <w:highlight w:val="none"/>
        </w:rPr>
      </w:pPr>
      <w:bookmarkStart w:id="28" w:name="_Toc24868"/>
      <w:r>
        <w:rPr>
          <w:rFonts w:hint="eastAsia"/>
          <w:b/>
          <w:bCs/>
          <w:highlight w:val="none"/>
        </w:rPr>
        <w:t>安全评价主要范围：</w:t>
      </w:r>
      <w:bookmarkEnd w:id="28"/>
    </w:p>
    <w:p>
      <w:pPr>
        <w:spacing w:line="360" w:lineRule="auto"/>
        <w:ind w:firstLine="420" w:firstLineChars="200"/>
        <w:rPr>
          <w:highlight w:val="none"/>
        </w:rPr>
      </w:pPr>
      <w:r>
        <w:rPr>
          <w:rFonts w:hint="eastAsia"/>
          <w:highlight w:val="none"/>
        </w:rPr>
        <w:t>按照《燃气系统运行安全评价标准》（GBT 508112012 ）等一系列安全评价、安全管理相关标准及要求对管道气企业、瓶装气企业和汽车加气企业及其各类场站设施、管网输配系统、用户使用设施等进行安全评价。</w:t>
      </w:r>
    </w:p>
    <w:p>
      <w:pPr>
        <w:spacing w:line="360" w:lineRule="auto"/>
        <w:ind w:firstLine="422" w:firstLineChars="200"/>
        <w:outlineLvl w:val="1"/>
        <w:rPr>
          <w:b/>
          <w:bCs/>
          <w:highlight w:val="none"/>
        </w:rPr>
      </w:pPr>
      <w:bookmarkStart w:id="29" w:name="_Toc10595"/>
      <w:r>
        <w:rPr>
          <w:rFonts w:hint="eastAsia"/>
          <w:b/>
          <w:bCs/>
          <w:highlight w:val="none"/>
        </w:rPr>
        <w:t>四、其他要求</w:t>
      </w:r>
      <w:bookmarkEnd w:id="29"/>
    </w:p>
    <w:p>
      <w:pPr>
        <w:spacing w:line="360" w:lineRule="auto"/>
        <w:ind w:firstLine="422" w:firstLineChars="200"/>
        <w:outlineLvl w:val="2"/>
        <w:rPr>
          <w:b/>
          <w:bCs/>
          <w:highlight w:val="none"/>
        </w:rPr>
      </w:pPr>
      <w:bookmarkStart w:id="30" w:name="_Toc31731"/>
      <w:r>
        <w:rPr>
          <w:rFonts w:hint="eastAsia"/>
          <w:b/>
          <w:bCs/>
          <w:highlight w:val="none"/>
        </w:rPr>
        <w:t>（一）采购标的服务要求</w:t>
      </w:r>
      <w:bookmarkEnd w:id="30"/>
    </w:p>
    <w:p>
      <w:pPr>
        <w:spacing w:line="360" w:lineRule="auto"/>
        <w:ind w:firstLine="420" w:firstLineChars="200"/>
        <w:rPr>
          <w:highlight w:val="none"/>
        </w:rPr>
      </w:pPr>
      <w:r>
        <w:rPr>
          <w:rFonts w:hint="eastAsia"/>
          <w:highlight w:val="none"/>
        </w:rPr>
        <w:t>1、制定服务计划表并组织相关人员按时到达企业；</w:t>
      </w:r>
    </w:p>
    <w:p>
      <w:pPr>
        <w:spacing w:line="360" w:lineRule="auto"/>
        <w:ind w:firstLine="420" w:firstLineChars="200"/>
        <w:rPr>
          <w:highlight w:val="none"/>
        </w:rPr>
      </w:pPr>
      <w:r>
        <w:rPr>
          <w:rFonts w:hint="eastAsia"/>
          <w:highlight w:val="none"/>
        </w:rPr>
        <w:t>2、配合采购人相关使用部门台账资料进行整理，确保台账资料完整完整、规范；</w:t>
      </w:r>
    </w:p>
    <w:p>
      <w:pPr>
        <w:spacing w:line="360" w:lineRule="auto"/>
        <w:ind w:firstLine="420" w:firstLineChars="200"/>
        <w:rPr>
          <w:highlight w:val="none"/>
        </w:rPr>
      </w:pPr>
      <w:r>
        <w:rPr>
          <w:rFonts w:hint="eastAsia"/>
          <w:highlight w:val="none"/>
        </w:rPr>
        <w:t>3、根据采购人工作计划和工作要求开展工作，定期汇报技术服务进展情况，如发现较大或重大安全隐患，应及时进行汇报。</w:t>
      </w:r>
    </w:p>
    <w:p>
      <w:pPr>
        <w:spacing w:line="360" w:lineRule="auto"/>
        <w:ind w:firstLine="422" w:firstLineChars="200"/>
        <w:outlineLvl w:val="2"/>
        <w:rPr>
          <w:b/>
          <w:bCs/>
          <w:highlight w:val="none"/>
        </w:rPr>
      </w:pPr>
      <w:bookmarkStart w:id="31" w:name="_Toc28298"/>
      <w:r>
        <w:rPr>
          <w:rFonts w:hint="eastAsia"/>
          <w:b/>
          <w:bCs/>
          <w:highlight w:val="none"/>
        </w:rPr>
        <w:t>（二）成果文件要求</w:t>
      </w:r>
      <w:bookmarkEnd w:id="31"/>
    </w:p>
    <w:p>
      <w:pPr>
        <w:spacing w:line="360" w:lineRule="auto"/>
        <w:ind w:firstLine="420" w:firstLineChars="200"/>
        <w:rPr>
          <w:highlight w:val="none"/>
        </w:rPr>
      </w:pPr>
      <w:r>
        <w:rPr>
          <w:rFonts w:hint="eastAsia"/>
          <w:highlight w:val="none"/>
        </w:rPr>
        <w:t>对各企业分别出具燃气现状安全评价报告，根据各企业评价结果，评估武汉燃气行业安全运行情况，并出具燃气行业现状安全评价报告，成果文件须符合国家、省、市相关规范要求。</w:t>
      </w:r>
    </w:p>
    <w:p>
      <w:pPr>
        <w:spacing w:line="360" w:lineRule="auto"/>
        <w:ind w:firstLine="422" w:firstLineChars="200"/>
        <w:outlineLvl w:val="2"/>
        <w:rPr>
          <w:b/>
          <w:bCs/>
          <w:highlight w:val="none"/>
        </w:rPr>
      </w:pPr>
      <w:bookmarkStart w:id="32" w:name="_Toc21341"/>
      <w:r>
        <w:rPr>
          <w:rFonts w:hint="eastAsia"/>
          <w:b/>
          <w:bCs/>
          <w:highlight w:val="none"/>
        </w:rPr>
        <w:t>★（三）项目人员配置要求</w:t>
      </w:r>
      <w:bookmarkEnd w:id="27"/>
      <w:bookmarkEnd w:id="32"/>
    </w:p>
    <w:p>
      <w:pPr>
        <w:spacing w:line="360" w:lineRule="auto"/>
        <w:ind w:firstLine="422" w:firstLineChars="200"/>
        <w:rPr>
          <w:b/>
          <w:bCs/>
          <w:color w:val="000000" w:themeColor="text1"/>
          <w:highlight w:val="none"/>
          <w14:textFill>
            <w14:solidFill>
              <w14:schemeClr w14:val="tx1"/>
            </w14:solidFill>
          </w14:textFill>
        </w:rPr>
      </w:pPr>
      <w:bookmarkStart w:id="33" w:name="_Toc1712"/>
      <w:r>
        <w:rPr>
          <w:rFonts w:hint="eastAsia"/>
          <w:b/>
          <w:bCs/>
          <w:color w:val="000000" w:themeColor="text1"/>
          <w:highlight w:val="none"/>
          <w14:textFill>
            <w14:solidFill>
              <w14:schemeClr w14:val="tx1"/>
            </w14:solidFill>
          </w14:textFill>
        </w:rPr>
        <w:t>第一包：</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1、本项目要求最低投入</w:t>
      </w:r>
      <w:r>
        <w:rPr>
          <w:rFonts w:hint="eastAsia"/>
          <w:color w:val="000000" w:themeColor="text1"/>
          <w:highlight w:val="none"/>
          <w:u w:val="single"/>
          <w14:textFill>
            <w14:solidFill>
              <w14:schemeClr w14:val="tx1"/>
            </w14:solidFill>
          </w14:textFill>
        </w:rPr>
        <w:t xml:space="preserve">  12  </w:t>
      </w:r>
      <w:r>
        <w:rPr>
          <w:rFonts w:hint="eastAsia"/>
          <w:color w:val="000000" w:themeColor="text1"/>
          <w:highlight w:val="none"/>
          <w14:textFill>
            <w14:solidFill>
              <w14:schemeClr w14:val="tx1"/>
            </w14:solidFill>
          </w14:textFill>
        </w:rPr>
        <w:t>人，其中：项目负责人</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名，评价后服务驻场人员</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名（服务期1年）。</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2、人员标准要求：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拟派担任本项目的项目负责人须具有高级工程师职称</w:t>
      </w:r>
      <w:r>
        <w:rPr>
          <w:rFonts w:hint="eastAsia"/>
          <w:color w:val="000000" w:themeColor="text1"/>
          <w:highlight w:val="none"/>
          <w:lang w:val="en-US" w:eastAsia="zh-CN"/>
          <w14:textFill>
            <w14:solidFill>
              <w14:schemeClr w14:val="tx1"/>
            </w14:solidFill>
          </w14:textFill>
        </w:rPr>
        <w:t>及安全评价师证书</w:t>
      </w:r>
      <w:r>
        <w:rPr>
          <w:rFonts w:hint="eastAsia"/>
          <w:color w:val="000000" w:themeColor="text1"/>
          <w:highlight w:val="none"/>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供应商依据采购需求，对团队进行分组，各</w:t>
      </w:r>
      <w:r>
        <w:rPr>
          <w:rFonts w:hint="eastAsia"/>
          <w:color w:val="000000" w:themeColor="text1"/>
          <w:highlight w:val="none"/>
          <w14:textFill>
            <w14:solidFill>
              <w14:schemeClr w14:val="tx1"/>
            </w14:solidFill>
          </w14:textFill>
        </w:rPr>
        <w:t>小组</w:t>
      </w:r>
      <w:r>
        <w:rPr>
          <w:rFonts w:hint="eastAsia"/>
          <w:color w:val="000000" w:themeColor="text1"/>
          <w:highlight w:val="none"/>
          <w:lang w:val="en-US" w:eastAsia="zh-CN"/>
          <w14:textFill>
            <w14:solidFill>
              <w14:schemeClr w14:val="tx1"/>
            </w14:solidFill>
          </w14:textFill>
        </w:rPr>
        <w:t>组长须</w:t>
      </w:r>
      <w:r>
        <w:rPr>
          <w:rFonts w:hint="eastAsia"/>
          <w:color w:val="000000" w:themeColor="text1"/>
          <w:highlight w:val="none"/>
          <w14:textFill>
            <w14:solidFill>
              <w14:schemeClr w14:val="tx1"/>
            </w14:solidFill>
          </w14:textFill>
        </w:rPr>
        <w:t>具有中级（含）以上职称</w:t>
      </w:r>
      <w:r>
        <w:rPr>
          <w:rFonts w:hint="eastAsia"/>
          <w:color w:val="000000" w:themeColor="text1"/>
          <w:highlight w:val="none"/>
          <w:lang w:val="en-US" w:eastAsia="zh-CN"/>
          <w14:textFill>
            <w14:solidFill>
              <w14:schemeClr w14:val="tx1"/>
            </w14:solidFill>
          </w14:textFill>
        </w:rPr>
        <w:t>或安全评价师证书</w:t>
      </w:r>
      <w:r>
        <w:rPr>
          <w:rFonts w:hint="eastAsia"/>
          <w:color w:val="000000" w:themeColor="text1"/>
          <w:highlight w:val="none"/>
          <w14:textFill>
            <w14:solidFill>
              <w14:schemeClr w14:val="tx1"/>
            </w14:solidFill>
          </w14:textFill>
        </w:rPr>
        <w:t>。</w:t>
      </w:r>
    </w:p>
    <w:p>
      <w:pPr>
        <w:spacing w:line="360" w:lineRule="auto"/>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第二包：</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1、本项目要求最低投入</w:t>
      </w:r>
      <w:r>
        <w:rPr>
          <w:rFonts w:hint="eastAsia"/>
          <w:color w:val="000000" w:themeColor="text1"/>
          <w:highlight w:val="none"/>
          <w:u w:val="single"/>
          <w14:textFill>
            <w14:solidFill>
              <w14:schemeClr w14:val="tx1"/>
            </w14:solidFill>
          </w14:textFill>
        </w:rPr>
        <w:t xml:space="preserve">  9  </w:t>
      </w:r>
      <w:r>
        <w:rPr>
          <w:rFonts w:hint="eastAsia"/>
          <w:color w:val="000000" w:themeColor="text1"/>
          <w:highlight w:val="none"/>
          <w14:textFill>
            <w14:solidFill>
              <w14:schemeClr w14:val="tx1"/>
            </w14:solidFill>
          </w14:textFill>
        </w:rPr>
        <w:t>人，其中：项目负责人</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名，评价后服务驻场人员</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名（服务期1年）。</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2、人员标准要求：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拟派担任本项目的项目负责人须具有高级工程师职称</w:t>
      </w:r>
      <w:r>
        <w:rPr>
          <w:rFonts w:hint="eastAsia"/>
          <w:color w:val="000000" w:themeColor="text1"/>
          <w:highlight w:val="none"/>
          <w:lang w:val="en-US" w:eastAsia="zh-CN"/>
          <w14:textFill>
            <w14:solidFill>
              <w14:schemeClr w14:val="tx1"/>
            </w14:solidFill>
          </w14:textFill>
        </w:rPr>
        <w:t>及安全评价师证书</w:t>
      </w:r>
      <w:r>
        <w:rPr>
          <w:rFonts w:hint="eastAsia"/>
          <w:color w:val="000000" w:themeColor="text1"/>
          <w:highlight w:val="none"/>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供应商依据采购需求，对团队进行分组，各</w:t>
      </w:r>
      <w:r>
        <w:rPr>
          <w:rFonts w:hint="eastAsia"/>
          <w:color w:val="000000" w:themeColor="text1"/>
          <w:highlight w:val="none"/>
          <w14:textFill>
            <w14:solidFill>
              <w14:schemeClr w14:val="tx1"/>
            </w14:solidFill>
          </w14:textFill>
        </w:rPr>
        <w:t>小组</w:t>
      </w:r>
      <w:r>
        <w:rPr>
          <w:rFonts w:hint="eastAsia"/>
          <w:color w:val="000000" w:themeColor="text1"/>
          <w:highlight w:val="none"/>
          <w:lang w:val="en-US" w:eastAsia="zh-CN"/>
          <w14:textFill>
            <w14:solidFill>
              <w14:schemeClr w14:val="tx1"/>
            </w14:solidFill>
          </w14:textFill>
        </w:rPr>
        <w:t>组长须</w:t>
      </w:r>
      <w:r>
        <w:rPr>
          <w:rFonts w:hint="eastAsia"/>
          <w:color w:val="000000" w:themeColor="text1"/>
          <w:highlight w:val="none"/>
          <w14:textFill>
            <w14:solidFill>
              <w14:schemeClr w14:val="tx1"/>
            </w14:solidFill>
          </w14:textFill>
        </w:rPr>
        <w:t>具有中级（含）以上职称</w:t>
      </w:r>
      <w:r>
        <w:rPr>
          <w:rFonts w:hint="eastAsia"/>
          <w:color w:val="000000" w:themeColor="text1"/>
          <w:highlight w:val="none"/>
          <w:lang w:val="en-US" w:eastAsia="zh-CN"/>
          <w14:textFill>
            <w14:solidFill>
              <w14:schemeClr w14:val="tx1"/>
            </w14:solidFill>
          </w14:textFill>
        </w:rPr>
        <w:t>或安全评价师证书</w:t>
      </w:r>
      <w:r>
        <w:rPr>
          <w:rFonts w:hint="eastAsia"/>
          <w:color w:val="000000" w:themeColor="text1"/>
          <w:highlight w:val="none"/>
          <w14:textFill>
            <w14:solidFill>
              <w14:schemeClr w14:val="tx1"/>
            </w14:solidFill>
          </w14:textFill>
        </w:rPr>
        <w:t>。</w:t>
      </w:r>
    </w:p>
    <w:p>
      <w:pPr>
        <w:spacing w:line="360" w:lineRule="auto"/>
        <w:ind w:firstLine="422" w:firstLineChars="2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第三包：</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1、本项目要求最低投入</w:t>
      </w:r>
      <w:r>
        <w:rPr>
          <w:rFonts w:hint="eastAsia"/>
          <w:color w:val="000000" w:themeColor="text1"/>
          <w:highlight w:val="none"/>
          <w:u w:val="single"/>
          <w14:textFill>
            <w14:solidFill>
              <w14:schemeClr w14:val="tx1"/>
            </w14:solidFill>
          </w14:textFill>
        </w:rPr>
        <w:t xml:space="preserve"> 6 </w:t>
      </w:r>
      <w:r>
        <w:rPr>
          <w:rFonts w:hint="eastAsia"/>
          <w:color w:val="000000" w:themeColor="text1"/>
          <w:highlight w:val="none"/>
          <w14:textFill>
            <w14:solidFill>
              <w14:schemeClr w14:val="tx1"/>
            </w14:solidFill>
          </w14:textFill>
        </w:rPr>
        <w:t>人，其中：项目负责人</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名，评价后服务驻场人员</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名（服务期1年）。</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2、人员标准要求：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拟派担任本项目的项目负责人须具有高级工程师职称</w:t>
      </w:r>
      <w:r>
        <w:rPr>
          <w:rFonts w:hint="eastAsia"/>
          <w:color w:val="000000" w:themeColor="text1"/>
          <w:highlight w:val="none"/>
          <w:lang w:val="en-US" w:eastAsia="zh-CN"/>
          <w14:textFill>
            <w14:solidFill>
              <w14:schemeClr w14:val="tx1"/>
            </w14:solidFill>
          </w14:textFill>
        </w:rPr>
        <w:t>及安全评价师证书</w:t>
      </w:r>
      <w:r>
        <w:rPr>
          <w:rFonts w:hint="eastAsia"/>
          <w:color w:val="000000" w:themeColor="text1"/>
          <w:highlight w:val="none"/>
          <w14:textFill>
            <w14:solidFill>
              <w14:schemeClr w14:val="tx1"/>
            </w14:solidFill>
          </w14:textFill>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供应商依据采购需求，对团队进行分组，各</w:t>
      </w:r>
      <w:r>
        <w:rPr>
          <w:rFonts w:hint="eastAsia"/>
          <w:color w:val="000000" w:themeColor="text1"/>
          <w:highlight w:val="none"/>
          <w14:textFill>
            <w14:solidFill>
              <w14:schemeClr w14:val="tx1"/>
            </w14:solidFill>
          </w14:textFill>
        </w:rPr>
        <w:t>小组</w:t>
      </w:r>
      <w:r>
        <w:rPr>
          <w:rFonts w:hint="eastAsia"/>
          <w:color w:val="000000" w:themeColor="text1"/>
          <w:highlight w:val="none"/>
          <w:lang w:val="en-US" w:eastAsia="zh-CN"/>
          <w14:textFill>
            <w14:solidFill>
              <w14:schemeClr w14:val="tx1"/>
            </w14:solidFill>
          </w14:textFill>
        </w:rPr>
        <w:t>组长须</w:t>
      </w:r>
      <w:r>
        <w:rPr>
          <w:rFonts w:hint="eastAsia"/>
          <w:color w:val="000000" w:themeColor="text1"/>
          <w:highlight w:val="none"/>
          <w14:textFill>
            <w14:solidFill>
              <w14:schemeClr w14:val="tx1"/>
            </w14:solidFill>
          </w14:textFill>
        </w:rPr>
        <w:t>具有中级（含）以上职称</w:t>
      </w:r>
      <w:r>
        <w:rPr>
          <w:rFonts w:hint="eastAsia"/>
          <w:color w:val="000000" w:themeColor="text1"/>
          <w:highlight w:val="none"/>
          <w:lang w:val="en-US" w:eastAsia="zh-CN"/>
          <w14:textFill>
            <w14:solidFill>
              <w14:schemeClr w14:val="tx1"/>
            </w14:solidFill>
          </w14:textFill>
        </w:rPr>
        <w:t>或安全评价师证书</w:t>
      </w:r>
      <w:r>
        <w:rPr>
          <w:rFonts w:hint="eastAsia"/>
          <w:color w:val="000000" w:themeColor="text1"/>
          <w:highlight w:val="none"/>
          <w14:textFill>
            <w14:solidFill>
              <w14:schemeClr w14:val="tx1"/>
            </w14:solidFill>
          </w14:textFill>
        </w:rPr>
        <w:t>。</w:t>
      </w:r>
    </w:p>
    <w:p>
      <w:pPr>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为保证供应商履约，提供更优质得服务，上述人员须与项目实施过程中保持一致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w:t>
      </w:r>
      <w:r>
        <w:rPr>
          <w:rFonts w:hint="eastAsia"/>
          <w:color w:val="000000" w:themeColor="text1"/>
          <w:highlight w:val="none"/>
          <w14:textFill>
            <w14:solidFill>
              <w14:schemeClr w14:val="tx1"/>
            </w14:solidFill>
          </w14:textFill>
        </w:rPr>
        <w:t>提供磋商截止日期前近6个月</w:t>
      </w:r>
      <w:r>
        <w:rPr>
          <w:rFonts w:hint="eastAsia"/>
          <w:color w:val="000000" w:themeColor="text1"/>
          <w:highlight w:val="none"/>
          <w:lang w:val="en-US" w:eastAsia="zh-CN"/>
          <w14:textFill>
            <w14:solidFill>
              <w14:schemeClr w14:val="tx1"/>
            </w14:solidFill>
          </w14:textFill>
        </w:rPr>
        <w:t>内</w:t>
      </w:r>
      <w:r>
        <w:rPr>
          <w:rFonts w:hint="eastAsia"/>
          <w:color w:val="000000" w:themeColor="text1"/>
          <w:highlight w:val="none"/>
          <w14:textFill>
            <w14:solidFill>
              <w14:schemeClr w14:val="tx1"/>
            </w14:solidFill>
          </w14:textFill>
        </w:rPr>
        <w:t>供应商为其缴纳社保的证明材料</w:t>
      </w:r>
      <w:r>
        <w:rPr>
          <w:rFonts w:hint="eastAsia"/>
          <w:color w:val="000000" w:themeColor="text1"/>
          <w:highlight w:val="none"/>
          <w:lang w:eastAsia="zh-CN"/>
          <w14:textFill>
            <w14:solidFill>
              <w14:schemeClr w14:val="tx1"/>
            </w14:solidFill>
          </w14:textFill>
        </w:rPr>
        <w:t>。</w:t>
      </w:r>
    </w:p>
    <w:p>
      <w:pPr>
        <w:spacing w:line="360" w:lineRule="auto"/>
        <w:ind w:firstLine="422" w:firstLineChars="200"/>
        <w:outlineLvl w:val="2"/>
        <w:rPr>
          <w:b/>
          <w:bCs/>
          <w:highlight w:val="none"/>
        </w:rPr>
      </w:pPr>
      <w:bookmarkStart w:id="34" w:name="_Toc15566"/>
      <w:r>
        <w:rPr>
          <w:rFonts w:hint="eastAsia"/>
          <w:b/>
          <w:bCs/>
          <w:highlight w:val="none"/>
        </w:rPr>
        <w:t>（</w:t>
      </w:r>
      <w:r>
        <w:rPr>
          <w:rFonts w:hint="eastAsia"/>
          <w:b/>
          <w:bCs/>
          <w:highlight w:val="none"/>
          <w:lang w:val="en-US" w:eastAsia="zh-CN"/>
        </w:rPr>
        <w:t>四</w:t>
      </w:r>
      <w:r>
        <w:rPr>
          <w:rFonts w:hint="eastAsia"/>
          <w:b/>
          <w:bCs/>
          <w:highlight w:val="none"/>
        </w:rPr>
        <w:t>）技术方案要求</w:t>
      </w:r>
      <w:bookmarkEnd w:id="33"/>
      <w:bookmarkEnd w:id="34"/>
    </w:p>
    <w:p>
      <w:pPr>
        <w:spacing w:line="360" w:lineRule="auto"/>
        <w:ind w:firstLine="420" w:firstLineChars="200"/>
        <w:rPr>
          <w:highlight w:val="none"/>
        </w:rPr>
      </w:pPr>
      <w:r>
        <w:rPr>
          <w:rFonts w:hint="eastAsia"/>
          <w:highlight w:val="none"/>
        </w:rPr>
        <w:t>1、针对本次采购提出完整的工作思路及理解。</w:t>
      </w:r>
    </w:p>
    <w:p>
      <w:pPr>
        <w:spacing w:line="360" w:lineRule="auto"/>
        <w:ind w:firstLine="420" w:firstLineChars="200"/>
        <w:rPr>
          <w:highlight w:val="none"/>
        </w:rPr>
      </w:pPr>
      <w:r>
        <w:rPr>
          <w:rFonts w:hint="eastAsia"/>
          <w:highlight w:val="none"/>
        </w:rPr>
        <w:t>2、项目实施方案：</w:t>
      </w:r>
    </w:p>
    <w:p>
      <w:pPr>
        <w:spacing w:line="360" w:lineRule="auto"/>
        <w:ind w:firstLine="420" w:firstLineChars="200"/>
        <w:rPr>
          <w:highlight w:val="none"/>
        </w:rPr>
      </w:pPr>
      <w:r>
        <w:rPr>
          <w:rFonts w:hint="eastAsia"/>
          <w:highlight w:val="none"/>
        </w:rPr>
        <w:t>①项目总体方案；</w:t>
      </w:r>
    </w:p>
    <w:p>
      <w:pPr>
        <w:spacing w:line="360" w:lineRule="auto"/>
        <w:ind w:firstLine="420" w:firstLineChars="200"/>
        <w:rPr>
          <w:highlight w:val="none"/>
        </w:rPr>
      </w:pPr>
      <w:r>
        <w:rPr>
          <w:rFonts w:hint="eastAsia"/>
          <w:highlight w:val="none"/>
        </w:rPr>
        <w:fldChar w:fldCharType="begin"/>
      </w:r>
      <w:r>
        <w:rPr>
          <w:rFonts w:hint="eastAsia"/>
          <w:highlight w:val="none"/>
        </w:rPr>
        <w:instrText xml:space="preserve"> = 2 \* GB3 \* MERGEFORMAT </w:instrText>
      </w:r>
      <w:r>
        <w:rPr>
          <w:rFonts w:hint="eastAsia"/>
          <w:highlight w:val="none"/>
        </w:rPr>
        <w:fldChar w:fldCharType="separate"/>
      </w:r>
      <w:r>
        <w:rPr>
          <w:rFonts w:hint="eastAsia"/>
          <w:highlight w:val="none"/>
        </w:rPr>
        <w:t>②</w:t>
      </w:r>
      <w:r>
        <w:rPr>
          <w:rFonts w:hint="eastAsia"/>
          <w:highlight w:val="none"/>
        </w:rPr>
        <w:fldChar w:fldCharType="end"/>
      </w:r>
      <w:r>
        <w:rPr>
          <w:rFonts w:hint="eastAsia"/>
          <w:highlight w:val="none"/>
        </w:rPr>
        <w:t>各部分项目的详细方案（时间安排、人员配备、服务标准、质量目标等）；</w:t>
      </w:r>
    </w:p>
    <w:p>
      <w:pPr>
        <w:spacing w:line="360" w:lineRule="auto"/>
        <w:ind w:firstLine="420" w:firstLineChars="200"/>
        <w:rPr>
          <w:highlight w:val="none"/>
        </w:rPr>
      </w:pPr>
      <w:r>
        <w:rPr>
          <w:rFonts w:hint="eastAsia"/>
          <w:highlight w:val="none"/>
        </w:rPr>
        <w:fldChar w:fldCharType="begin"/>
      </w:r>
      <w:r>
        <w:rPr>
          <w:rFonts w:hint="eastAsia"/>
          <w:highlight w:val="none"/>
        </w:rPr>
        <w:instrText xml:space="preserve"> = 3 \* GB3 \* MERGEFORMAT </w:instrText>
      </w:r>
      <w:r>
        <w:rPr>
          <w:rFonts w:hint="eastAsia"/>
          <w:highlight w:val="none"/>
        </w:rPr>
        <w:fldChar w:fldCharType="separate"/>
      </w:r>
      <w:r>
        <w:rPr>
          <w:rFonts w:hint="eastAsia"/>
          <w:highlight w:val="none"/>
        </w:rPr>
        <w:t>③</w:t>
      </w:r>
      <w:r>
        <w:rPr>
          <w:rFonts w:hint="eastAsia"/>
          <w:highlight w:val="none"/>
        </w:rPr>
        <w:fldChar w:fldCharType="end"/>
      </w:r>
      <w:r>
        <w:rPr>
          <w:rFonts w:hint="eastAsia"/>
          <w:highlight w:val="none"/>
        </w:rPr>
        <w:t>其他需要说明的问题。</w:t>
      </w:r>
    </w:p>
    <w:p>
      <w:pPr>
        <w:spacing w:line="360" w:lineRule="auto"/>
        <w:ind w:firstLine="420" w:firstLineChars="200"/>
        <w:rPr>
          <w:highlight w:val="none"/>
        </w:rPr>
      </w:pPr>
      <w:r>
        <w:rPr>
          <w:rFonts w:hint="eastAsia"/>
          <w:highlight w:val="none"/>
        </w:rPr>
        <w:t>3、确保项目质量的技术组织措施；</w:t>
      </w:r>
    </w:p>
    <w:p>
      <w:pPr>
        <w:spacing w:line="360" w:lineRule="auto"/>
        <w:ind w:firstLine="420" w:firstLineChars="200"/>
        <w:rPr>
          <w:highlight w:val="none"/>
        </w:rPr>
      </w:pPr>
      <w:r>
        <w:rPr>
          <w:rFonts w:hint="eastAsia"/>
          <w:highlight w:val="none"/>
        </w:rPr>
        <w:t>4、供应商认为应编入响应文件的其它内容。</w:t>
      </w:r>
    </w:p>
    <w:p>
      <w:pPr>
        <w:spacing w:line="360" w:lineRule="auto"/>
        <w:ind w:firstLine="422" w:firstLineChars="200"/>
        <w:outlineLvl w:val="1"/>
        <w:rPr>
          <w:b/>
          <w:bCs/>
          <w:highlight w:val="none"/>
        </w:rPr>
      </w:pPr>
      <w:bookmarkStart w:id="35" w:name="_Toc61854026"/>
      <w:bookmarkStart w:id="36" w:name="_Toc25322"/>
      <w:bookmarkStart w:id="37" w:name="_Toc4015"/>
      <w:r>
        <w:rPr>
          <w:rFonts w:hint="eastAsia"/>
          <w:b/>
          <w:bCs/>
          <w:highlight w:val="none"/>
        </w:rPr>
        <w:t>五、</w:t>
      </w:r>
      <w:bookmarkEnd w:id="35"/>
      <w:bookmarkStart w:id="38" w:name="_Toc61854029"/>
      <w:r>
        <w:rPr>
          <w:rFonts w:hint="eastAsia"/>
          <w:b/>
          <w:bCs/>
          <w:highlight w:val="none"/>
        </w:rPr>
        <w:t>项目验收（考核）</w:t>
      </w:r>
      <w:bookmarkEnd w:id="36"/>
      <w:bookmarkEnd w:id="38"/>
      <w:r>
        <w:rPr>
          <w:rFonts w:hint="eastAsia"/>
          <w:b/>
          <w:bCs/>
          <w:highlight w:val="none"/>
        </w:rPr>
        <w:t>要求</w:t>
      </w:r>
      <w:bookmarkEnd w:id="37"/>
    </w:p>
    <w:p>
      <w:pPr>
        <w:spacing w:line="360" w:lineRule="auto"/>
        <w:ind w:firstLine="420" w:firstLineChars="200"/>
        <w:rPr>
          <w:highlight w:val="none"/>
        </w:rPr>
      </w:pPr>
      <w:bookmarkStart w:id="39" w:name="_Toc61854030"/>
      <w:bookmarkStart w:id="40" w:name="_Toc16898"/>
      <w:r>
        <w:rPr>
          <w:rFonts w:hint="eastAsia"/>
          <w:highlight w:val="none"/>
        </w:rPr>
        <w:t>成交供应商应在项目完成后做好本项目资料的交接工作；</w:t>
      </w:r>
    </w:p>
    <w:p>
      <w:pPr>
        <w:spacing w:line="360" w:lineRule="auto"/>
        <w:ind w:firstLine="420" w:firstLineChars="200"/>
        <w:rPr>
          <w:highlight w:val="none"/>
        </w:rPr>
      </w:pPr>
      <w:r>
        <w:rPr>
          <w:rFonts w:hint="eastAsia"/>
          <w:highlight w:val="none"/>
        </w:rPr>
        <w:t>验收将严格按照磋商文件的规定和响应文件的响应及承诺执行，验收不合格的将根据合同有关条款进行处理，验收意见作为付款依据。</w:t>
      </w:r>
    </w:p>
    <w:p>
      <w:pPr>
        <w:spacing w:line="360" w:lineRule="auto"/>
        <w:ind w:firstLine="422" w:firstLineChars="200"/>
        <w:outlineLvl w:val="1"/>
        <w:rPr>
          <w:b/>
          <w:bCs/>
          <w:highlight w:val="none"/>
        </w:rPr>
      </w:pPr>
      <w:bookmarkStart w:id="41" w:name="_Toc9373"/>
      <w:r>
        <w:rPr>
          <w:rFonts w:hint="eastAsia"/>
          <w:b/>
          <w:bCs/>
          <w:highlight w:val="none"/>
        </w:rPr>
        <w:t>六、报价要求</w:t>
      </w:r>
      <w:bookmarkEnd w:id="39"/>
      <w:bookmarkEnd w:id="40"/>
      <w:bookmarkEnd w:id="41"/>
    </w:p>
    <w:p>
      <w:pPr>
        <w:spacing w:line="360" w:lineRule="auto"/>
        <w:ind w:firstLine="420" w:firstLineChars="200"/>
        <w:rPr>
          <w:highlight w:val="none"/>
        </w:rPr>
      </w:pPr>
      <w:r>
        <w:rPr>
          <w:rFonts w:hint="eastAsia"/>
          <w:highlight w:val="none"/>
        </w:rPr>
        <w:t>本项目报价须为人民币报价，包含但不限于：完成磋商文件所确定的全部服务内容并提交评价成果文件，包括为完成任务所必须的技术工作费、资料收集、管理费、人员劳务及差旅费、合理利润等所有完成本项目相关的一切费用。各供应商最终响应报价须包含完成本项目采购需求的所有内容，采购人按照各供应商成交金额与其签订政府采购合同，采购人不再支付任何费用。</w:t>
      </w:r>
    </w:p>
    <w:p>
      <w:pPr>
        <w:pStyle w:val="4"/>
        <w:spacing w:after="0" w:line="360" w:lineRule="auto"/>
        <w:ind w:firstLine="420" w:firstLineChars="200"/>
        <w:rPr>
          <w:highlight w:val="none"/>
          <w:lang w:val="zh-CN"/>
        </w:rPr>
        <w:sectPr>
          <w:pgSz w:w="11906" w:h="16838"/>
          <w:pgMar w:top="1417" w:right="1417" w:bottom="1417" w:left="1417" w:header="851" w:footer="992" w:gutter="0"/>
          <w:cols w:space="720" w:num="1"/>
          <w:docGrid w:type="lines" w:linePitch="312" w:charSpace="0"/>
        </w:sectPr>
      </w:pPr>
      <w:r>
        <w:rPr>
          <w:rFonts w:hint="eastAsia"/>
          <w:highlight w:val="none"/>
          <w:lang w:val="zh-CN"/>
        </w:rPr>
        <w:t>供应商最终报价时，若报价明显低于其他通过符合性审查供应商的报价，须根据采购文件的规定和要求、市场价格水平及其走势、供应商的管理水平、供应商的供货方案，提供各分项报价的成本控制金额明细，包含但不限于设备、保险、人工费用、差旅费、税收等。</w:t>
      </w:r>
    </w:p>
    <w:p>
      <w:pPr>
        <w:spacing w:line="360" w:lineRule="auto"/>
        <w:ind w:firstLine="422" w:firstLineChars="200"/>
        <w:outlineLvl w:val="1"/>
        <w:rPr>
          <w:b/>
          <w:bCs/>
          <w:highlight w:val="none"/>
        </w:rPr>
      </w:pPr>
      <w:bookmarkStart w:id="42" w:name="_Toc19345"/>
      <w:r>
        <w:rPr>
          <w:rFonts w:hint="eastAsia"/>
          <w:b/>
          <w:bCs/>
          <w:highlight w:val="none"/>
        </w:rPr>
        <w:t>七、评价依据（包括但不限于）：</w:t>
      </w:r>
      <w:bookmarkEnd w:id="42"/>
    </w:p>
    <w:p>
      <w:pPr>
        <w:numPr>
          <w:ilvl w:val="0"/>
          <w:numId w:val="5"/>
        </w:numPr>
        <w:spacing w:line="360" w:lineRule="auto"/>
        <w:jc w:val="left"/>
        <w:rPr>
          <w:rFonts w:ascii="宋体" w:hAnsi="宋体" w:cs="宋体"/>
          <w:b/>
          <w:bCs/>
          <w:szCs w:val="21"/>
          <w:highlight w:val="none"/>
        </w:rPr>
      </w:pPr>
      <w:r>
        <w:rPr>
          <w:rFonts w:hint="eastAsia" w:ascii="宋体" w:hAnsi="宋体" w:cs="宋体"/>
          <w:b/>
          <w:bCs/>
          <w:szCs w:val="21"/>
          <w:highlight w:val="none"/>
        </w:rPr>
        <w:t>法律</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1）《中华人民共和国安全生产法》中华人民共和国主席令〔2021）第 八十八号；</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2）《中华人民共和国消防法》中华人民共和国主席令〔2008）第六号 （主席令〔2021）第八十一号修改）；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3）《中华人民共和国特种设备安全法》中华人民共和国主席令〔2014） 第四号；</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4）《中华人民共和国突发事件应对法》中华人民共和国主席令（2007） 第六十九号；</w:t>
      </w:r>
    </w:p>
    <w:p>
      <w:pPr>
        <w:numPr>
          <w:ilvl w:val="0"/>
          <w:numId w:val="5"/>
        </w:numPr>
        <w:spacing w:line="360" w:lineRule="auto"/>
        <w:jc w:val="left"/>
        <w:rPr>
          <w:rFonts w:ascii="宋体" w:hAnsi="宋体" w:cs="宋体"/>
          <w:b/>
          <w:bCs/>
          <w:szCs w:val="21"/>
          <w:highlight w:val="none"/>
        </w:rPr>
      </w:pPr>
      <w:r>
        <w:rPr>
          <w:rFonts w:hint="eastAsia" w:ascii="宋体" w:hAnsi="宋体" w:cs="宋体"/>
          <w:b/>
          <w:bCs/>
          <w:szCs w:val="21"/>
          <w:highlight w:val="none"/>
        </w:rPr>
        <w:t>行政法规</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1）《生产安全事故报告和调查处理条例》中华人民共和国国务院令第 493号（国家安全生产监督管理总局令第77号修改）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2）《工伤保险条例》中华人民共和国国务院令第375号（国务院令第 586号修订）；</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3）《特种设备安全监察条例》中华人民共和国国务院令第373号（国 务院令第549号修订）；</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4）《城镇燃气管理条例》中华人民共和国国务院令第583号（国务院 令第666号修改）</w:t>
      </w:r>
    </w:p>
    <w:p>
      <w:pPr>
        <w:numPr>
          <w:ilvl w:val="0"/>
          <w:numId w:val="5"/>
        </w:numPr>
        <w:spacing w:line="360" w:lineRule="auto"/>
        <w:jc w:val="left"/>
        <w:rPr>
          <w:rFonts w:ascii="宋体" w:hAnsi="宋体" w:cs="宋体"/>
          <w:b/>
          <w:bCs/>
          <w:szCs w:val="21"/>
          <w:highlight w:val="none"/>
        </w:rPr>
      </w:pPr>
      <w:r>
        <w:rPr>
          <w:rFonts w:hint="eastAsia" w:ascii="宋体" w:hAnsi="宋体" w:cs="宋体"/>
          <w:b/>
          <w:bCs/>
          <w:szCs w:val="21"/>
          <w:highlight w:val="none"/>
        </w:rPr>
        <w:t>部门规章</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1）《生产安全事故应急预案管理办法》国家安全生产监督管理总局令 〔2016）第88号（中华人民共和国应急管理部令（2019）第2号修改）；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2）《安全生产培训管理办法》国家安全生产监督管理总局令〔2012） 第44号（国家安全生产监督管理总局令第80号修改）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3）《特种作业人员安全技术培训考核管理规定》国家安全生产监督管理总局令（2010）第30号（国家安全生产监督管理总局令（2015）第80号 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4）《生产经营单位安全培训规定》国家安全生产监督管理总局令 〔2013）第63号（国家安全生产监督管理总局令（2015）第80号修改）；</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5）《易制爆危险化学品名录（2017年版）》中华人民共和国公安部公 吿，2017年5月11日起施行）</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6）《危险化学品名录（2015版）》国家安全生产监督管理总局令〔2015） 第5号；</w:t>
      </w:r>
    </w:p>
    <w:p>
      <w:pPr>
        <w:numPr>
          <w:ilvl w:val="0"/>
          <w:numId w:val="5"/>
        </w:numPr>
        <w:spacing w:line="360" w:lineRule="auto"/>
        <w:jc w:val="left"/>
        <w:rPr>
          <w:rFonts w:ascii="宋体" w:hAnsi="宋体" w:cs="宋体"/>
          <w:b/>
          <w:bCs/>
          <w:szCs w:val="21"/>
          <w:highlight w:val="none"/>
        </w:rPr>
      </w:pPr>
      <w:r>
        <w:rPr>
          <w:rFonts w:hint="eastAsia" w:ascii="宋体" w:hAnsi="宋体" w:cs="宋体"/>
          <w:b/>
          <w:bCs/>
          <w:szCs w:val="21"/>
          <w:highlight w:val="none"/>
        </w:rPr>
        <w:t>地方性法规与合规性文件</w:t>
      </w:r>
    </w:p>
    <w:p>
      <w:pPr>
        <w:spacing w:line="360" w:lineRule="auto"/>
        <w:ind w:firstLine="420" w:firstLineChars="200"/>
        <w:jc w:val="left"/>
        <w:rPr>
          <w:highlight w:val="none"/>
        </w:rPr>
      </w:pPr>
      <w:r>
        <w:rPr>
          <w:rFonts w:hint="eastAsia"/>
          <w:highlight w:val="none"/>
        </w:rPr>
        <w:t>1）《湖北省安全生产条例》湖北省人民代表大会常务委员会公告〔2006）第56号（湖北省人民代表大会常务委员会公告〔2017）第218号 修订）；</w:t>
      </w:r>
    </w:p>
    <w:p>
      <w:pPr>
        <w:spacing w:line="360" w:lineRule="auto"/>
        <w:ind w:firstLine="420" w:firstLineChars="200"/>
        <w:jc w:val="left"/>
        <w:rPr>
          <w:highlight w:val="none"/>
        </w:rPr>
      </w:pPr>
      <w:r>
        <w:rPr>
          <w:rFonts w:hint="eastAsia"/>
          <w:highlight w:val="none"/>
        </w:rPr>
        <w:t>2）《湖北省雷电灾害防御条例》湖北省第十届人民代表大会常务委员 会第15次会议通过；</w:t>
      </w:r>
    </w:p>
    <w:p>
      <w:pPr>
        <w:spacing w:line="360" w:lineRule="auto"/>
        <w:ind w:firstLine="420" w:firstLineChars="200"/>
        <w:jc w:val="left"/>
        <w:rPr>
          <w:highlight w:val="none"/>
        </w:rPr>
      </w:pPr>
      <w:r>
        <w:rPr>
          <w:rFonts w:hint="eastAsia"/>
          <w:highlight w:val="none"/>
        </w:rPr>
        <w:t>3）《湖北省消防条例》湖北省人大常委会公告〔2011〕第115号；</w:t>
      </w:r>
    </w:p>
    <w:p>
      <w:pPr>
        <w:spacing w:line="360" w:lineRule="auto"/>
        <w:ind w:firstLine="420" w:firstLineChars="200"/>
        <w:jc w:val="left"/>
        <w:rPr>
          <w:highlight w:val="none"/>
        </w:rPr>
      </w:pPr>
      <w:r>
        <w:rPr>
          <w:rFonts w:hint="eastAsia"/>
          <w:highlight w:val="none"/>
        </w:rPr>
        <w:t>4）《湖北省燃气管理条例》湖北省第十届人民代表大会常务委员会公 告（2007）第72号；</w:t>
      </w:r>
    </w:p>
    <w:p>
      <w:pPr>
        <w:spacing w:line="360" w:lineRule="auto"/>
        <w:ind w:firstLine="420" w:firstLineChars="200"/>
        <w:jc w:val="left"/>
        <w:rPr>
          <w:highlight w:val="none"/>
        </w:rPr>
      </w:pPr>
      <w:r>
        <w:rPr>
          <w:rFonts w:hint="eastAsia"/>
          <w:highlight w:val="none"/>
        </w:rPr>
        <w:t>5）《武汉市燃气管理条例》武汉市第十三届人民代表大会常务委员会 第四次会议通过；</w:t>
      </w:r>
    </w:p>
    <w:p>
      <w:pPr>
        <w:spacing w:line="360" w:lineRule="auto"/>
        <w:ind w:firstLine="420" w:firstLineChars="200"/>
        <w:jc w:val="left"/>
        <w:rPr>
          <w:highlight w:val="none"/>
        </w:rPr>
      </w:pPr>
      <w:r>
        <w:rPr>
          <w:rFonts w:hint="eastAsia"/>
          <w:highlight w:val="none"/>
        </w:rPr>
        <w:t>6）《住房城乡建设部关于印发〈燃气经营许可管理办法〉和〈燃气经营 企业从业人员专业培训考核管理办法〉的通知》住房和城乡建设部〔2014） 167 号；</w:t>
      </w:r>
    </w:p>
    <w:p>
      <w:pPr>
        <w:spacing w:line="360" w:lineRule="auto"/>
        <w:ind w:firstLine="420" w:firstLineChars="200"/>
        <w:jc w:val="left"/>
        <w:rPr>
          <w:highlight w:val="none"/>
        </w:rPr>
      </w:pPr>
      <w:r>
        <w:rPr>
          <w:rFonts w:hint="eastAsia"/>
          <w:highlight w:val="none"/>
        </w:rPr>
        <w:t>7）</w:t>
      </w:r>
      <w:r>
        <w:rPr>
          <w:rFonts w:hint="eastAsia"/>
          <w:highlight w:val="none"/>
        </w:rPr>
        <w:tab/>
      </w:r>
      <w:r>
        <w:rPr>
          <w:rFonts w:hint="eastAsia"/>
          <w:highlight w:val="none"/>
        </w:rPr>
        <w:t>武汉市《燃气供气场站设置技术规定》武城管规〔2019） 2号。</w:t>
      </w:r>
    </w:p>
    <w:p>
      <w:pPr>
        <w:numPr>
          <w:ilvl w:val="0"/>
          <w:numId w:val="5"/>
        </w:numPr>
        <w:spacing w:line="360" w:lineRule="auto"/>
        <w:jc w:val="left"/>
        <w:rPr>
          <w:rFonts w:ascii="宋体" w:hAnsi="宋体" w:cs="宋体"/>
          <w:b/>
          <w:bCs/>
          <w:highlight w:val="none"/>
        </w:rPr>
      </w:pPr>
      <w:r>
        <w:rPr>
          <w:rFonts w:hint="eastAsia" w:ascii="宋体" w:hAnsi="宋体" w:cs="宋体"/>
          <w:b/>
          <w:bCs/>
          <w:highlight w:val="none"/>
        </w:rPr>
        <w:t>国家标准、规范</w:t>
      </w:r>
    </w:p>
    <w:p>
      <w:pPr>
        <w:spacing w:line="360" w:lineRule="auto"/>
        <w:ind w:firstLine="420" w:firstLineChars="200"/>
        <w:rPr>
          <w:highlight w:val="none"/>
        </w:rPr>
      </w:pPr>
      <w:r>
        <w:rPr>
          <w:rFonts w:hint="eastAsia"/>
          <w:highlight w:val="none"/>
        </w:rPr>
        <w:t xml:space="preserve">1）《城镇燃气技术规范》GB 50494-2009 </w:t>
      </w:r>
    </w:p>
    <w:p>
      <w:pPr>
        <w:spacing w:line="360" w:lineRule="auto"/>
        <w:ind w:firstLine="420" w:firstLineChars="200"/>
        <w:rPr>
          <w:highlight w:val="none"/>
        </w:rPr>
      </w:pPr>
      <w:r>
        <w:rPr>
          <w:rFonts w:hint="eastAsia"/>
          <w:highlight w:val="none"/>
        </w:rPr>
        <w:t>2）</w:t>
      </w:r>
      <w:r>
        <w:rPr>
          <w:rFonts w:hint="eastAsia"/>
          <w:highlight w:val="none"/>
        </w:rPr>
        <w:tab/>
      </w:r>
      <w:r>
        <w:rPr>
          <w:rFonts w:hint="eastAsia"/>
          <w:highlight w:val="none"/>
        </w:rPr>
        <w:t>《燃气系统运行安全评价标准》GB/T 50811-2012</w:t>
      </w:r>
    </w:p>
    <w:p>
      <w:pPr>
        <w:spacing w:line="360" w:lineRule="auto"/>
        <w:ind w:firstLine="420" w:firstLineChars="200"/>
        <w:rPr>
          <w:highlight w:val="none"/>
        </w:rPr>
      </w:pPr>
      <w:r>
        <w:rPr>
          <w:rFonts w:hint="eastAsia"/>
          <w:highlight w:val="none"/>
        </w:rPr>
        <w:t>3）</w:t>
      </w:r>
      <w:r>
        <w:rPr>
          <w:rFonts w:hint="eastAsia"/>
          <w:highlight w:val="none"/>
        </w:rPr>
        <w:tab/>
      </w:r>
      <w:r>
        <w:rPr>
          <w:rFonts w:hint="eastAsia"/>
          <w:highlight w:val="none"/>
        </w:rPr>
        <w:t>《燃气服务导则》GB/T28885-2012</w:t>
      </w:r>
    </w:p>
    <w:p>
      <w:pPr>
        <w:spacing w:line="360" w:lineRule="auto"/>
        <w:ind w:firstLine="420" w:firstLineChars="200"/>
        <w:rPr>
          <w:highlight w:val="none"/>
        </w:rPr>
      </w:pPr>
      <w:r>
        <w:rPr>
          <w:rFonts w:hint="eastAsia"/>
          <w:highlight w:val="none"/>
        </w:rPr>
        <w:t>4）</w:t>
      </w:r>
      <w:r>
        <w:rPr>
          <w:rFonts w:hint="eastAsia"/>
          <w:highlight w:val="none"/>
        </w:rPr>
        <w:tab/>
      </w:r>
      <w:r>
        <w:rPr>
          <w:rFonts w:hint="eastAsia"/>
          <w:highlight w:val="none"/>
        </w:rPr>
        <w:t>《液化石油气供应工程设计规范》GB 51142-2015</w:t>
      </w:r>
    </w:p>
    <w:p>
      <w:pPr>
        <w:spacing w:line="360" w:lineRule="auto"/>
        <w:ind w:firstLine="420" w:firstLineChars="200"/>
        <w:rPr>
          <w:highlight w:val="none"/>
        </w:rPr>
      </w:pPr>
      <w:r>
        <w:rPr>
          <w:rFonts w:hint="eastAsia"/>
          <w:highlight w:val="none"/>
        </w:rPr>
        <w:t>5）</w:t>
      </w:r>
      <w:r>
        <w:rPr>
          <w:rFonts w:hint="eastAsia"/>
          <w:highlight w:val="none"/>
        </w:rPr>
        <w:tab/>
      </w:r>
      <w:r>
        <w:rPr>
          <w:rFonts w:hint="eastAsia"/>
          <w:highlight w:val="none"/>
        </w:rPr>
        <w:t>《石油化工可燃气体和有毒气体检测报警设计规范》GB/T50493-2019</w:t>
      </w:r>
    </w:p>
    <w:p>
      <w:pPr>
        <w:spacing w:line="360" w:lineRule="auto"/>
        <w:ind w:firstLine="420" w:firstLineChars="200"/>
        <w:rPr>
          <w:highlight w:val="none"/>
        </w:rPr>
      </w:pPr>
      <w:r>
        <w:rPr>
          <w:rFonts w:hint="eastAsia"/>
          <w:highlight w:val="none"/>
        </w:rPr>
        <w:t>6）</w:t>
      </w:r>
      <w:r>
        <w:rPr>
          <w:rFonts w:hint="eastAsia"/>
          <w:highlight w:val="none"/>
        </w:rPr>
        <w:tab/>
      </w:r>
      <w:r>
        <w:rPr>
          <w:rFonts w:hint="eastAsia"/>
          <w:highlight w:val="none"/>
        </w:rPr>
        <w:t>《爆炸危险环境电力装置设计规范》GB 50058-2014</w:t>
      </w:r>
    </w:p>
    <w:p>
      <w:pPr>
        <w:spacing w:line="360" w:lineRule="auto"/>
        <w:ind w:firstLine="420" w:firstLineChars="200"/>
        <w:rPr>
          <w:highlight w:val="none"/>
        </w:rPr>
      </w:pPr>
      <w:r>
        <w:rPr>
          <w:rFonts w:hint="eastAsia"/>
          <w:highlight w:val="none"/>
        </w:rPr>
        <w:t>7）</w:t>
      </w:r>
      <w:r>
        <w:rPr>
          <w:rFonts w:hint="eastAsia"/>
          <w:highlight w:val="none"/>
        </w:rPr>
        <w:tab/>
      </w:r>
      <w:r>
        <w:rPr>
          <w:rFonts w:hint="eastAsia"/>
          <w:highlight w:val="none"/>
        </w:rPr>
        <w:t>《钢质管道外腐蚀控制规范》GB/T21447-2018</w:t>
      </w:r>
    </w:p>
    <w:p>
      <w:pPr>
        <w:spacing w:line="360" w:lineRule="auto"/>
        <w:ind w:firstLine="420" w:firstLineChars="200"/>
        <w:rPr>
          <w:highlight w:val="none"/>
        </w:rPr>
      </w:pPr>
      <w:r>
        <w:rPr>
          <w:rFonts w:hint="eastAsia"/>
          <w:highlight w:val="none"/>
        </w:rPr>
        <w:t>8）</w:t>
      </w:r>
      <w:r>
        <w:rPr>
          <w:rFonts w:hint="eastAsia"/>
          <w:highlight w:val="none"/>
        </w:rPr>
        <w:tab/>
      </w:r>
      <w:r>
        <w:rPr>
          <w:rFonts w:hint="eastAsia"/>
          <w:highlight w:val="none"/>
        </w:rPr>
        <w:t>《防止静电事故通用导则》GB 12158-2006</w:t>
      </w:r>
    </w:p>
    <w:p>
      <w:pPr>
        <w:spacing w:line="360" w:lineRule="auto"/>
        <w:ind w:firstLine="420" w:firstLineChars="200"/>
        <w:rPr>
          <w:highlight w:val="none"/>
        </w:rPr>
      </w:pPr>
      <w:r>
        <w:rPr>
          <w:rFonts w:hint="eastAsia"/>
          <w:highlight w:val="none"/>
        </w:rPr>
        <w:t>9）</w:t>
      </w:r>
      <w:r>
        <w:rPr>
          <w:rFonts w:hint="eastAsia"/>
          <w:highlight w:val="none"/>
        </w:rPr>
        <w:tab/>
      </w:r>
      <w:r>
        <w:rPr>
          <w:rFonts w:hint="eastAsia"/>
          <w:highlight w:val="none"/>
        </w:rPr>
        <w:t>《输送流体用无缝钢管》GB/T 8163-2018</w:t>
      </w:r>
    </w:p>
    <w:p>
      <w:pPr>
        <w:spacing w:line="360" w:lineRule="auto"/>
        <w:ind w:firstLine="420" w:firstLineChars="200"/>
        <w:rPr>
          <w:highlight w:val="none"/>
        </w:rPr>
      </w:pPr>
      <w:r>
        <w:rPr>
          <w:rFonts w:hint="eastAsia"/>
          <w:highlight w:val="none"/>
        </w:rPr>
        <w:t>10）《生产过程安全卫生要求总则》GB/T 12801-2008</w:t>
      </w:r>
    </w:p>
    <w:p>
      <w:pPr>
        <w:spacing w:line="360" w:lineRule="auto"/>
        <w:ind w:firstLine="420" w:firstLineChars="200"/>
        <w:rPr>
          <w:highlight w:val="none"/>
        </w:rPr>
      </w:pPr>
      <w:r>
        <w:rPr>
          <w:rFonts w:hint="eastAsia"/>
          <w:highlight w:val="none"/>
        </w:rPr>
        <w:t>11）</w:t>
      </w:r>
      <w:r>
        <w:rPr>
          <w:rFonts w:hint="eastAsia"/>
          <w:highlight w:val="none"/>
        </w:rPr>
        <w:tab/>
      </w:r>
      <w:r>
        <w:rPr>
          <w:rFonts w:hint="eastAsia"/>
          <w:highlight w:val="none"/>
        </w:rPr>
        <w:t>《建筑设计防火规范》GB 50016-2014 （2018版）</w:t>
      </w:r>
    </w:p>
    <w:p>
      <w:pPr>
        <w:spacing w:line="360" w:lineRule="auto"/>
        <w:ind w:firstLine="420" w:firstLineChars="200"/>
        <w:rPr>
          <w:highlight w:val="none"/>
        </w:rPr>
      </w:pPr>
      <w:r>
        <w:rPr>
          <w:rFonts w:hint="eastAsia"/>
          <w:highlight w:val="none"/>
        </w:rPr>
        <w:t>12）《建筑灭火器配置设计规范》GB 50140-2005</w:t>
      </w:r>
    </w:p>
    <w:p>
      <w:pPr>
        <w:spacing w:line="360" w:lineRule="auto"/>
        <w:ind w:firstLine="420" w:firstLineChars="200"/>
        <w:rPr>
          <w:highlight w:val="none"/>
        </w:rPr>
      </w:pPr>
      <w:r>
        <w:rPr>
          <w:rFonts w:hint="eastAsia"/>
          <w:highlight w:val="none"/>
        </w:rPr>
        <w:t>13）《建筑物防雷设计规范》GB 50057-2010</w:t>
      </w:r>
    </w:p>
    <w:p>
      <w:pPr>
        <w:spacing w:line="360" w:lineRule="auto"/>
        <w:ind w:firstLine="420" w:firstLineChars="200"/>
        <w:rPr>
          <w:highlight w:val="none"/>
        </w:rPr>
      </w:pPr>
      <w:r>
        <w:rPr>
          <w:rFonts w:hint="eastAsia"/>
          <w:highlight w:val="none"/>
        </w:rPr>
        <w:t>14）《建筑抗震设计规范》GB 50011-2010 （2016年版）</w:t>
      </w:r>
    </w:p>
    <w:p>
      <w:pPr>
        <w:spacing w:line="360" w:lineRule="auto"/>
        <w:ind w:firstLine="420" w:firstLineChars="200"/>
        <w:rPr>
          <w:highlight w:val="none"/>
        </w:rPr>
      </w:pPr>
      <w:r>
        <w:rPr>
          <w:rFonts w:hint="eastAsia"/>
          <w:highlight w:val="none"/>
        </w:rPr>
        <w:t>15）《室外给水排水和燃气热力工程抗震设计规范》GB 50032-2003</w:t>
      </w:r>
    </w:p>
    <w:p>
      <w:pPr>
        <w:spacing w:line="360" w:lineRule="auto"/>
        <w:ind w:firstLine="420" w:firstLineChars="200"/>
        <w:rPr>
          <w:highlight w:val="none"/>
        </w:rPr>
      </w:pPr>
      <w:r>
        <w:rPr>
          <w:rFonts w:hint="eastAsia"/>
          <w:highlight w:val="none"/>
        </w:rPr>
        <w:t>16）《建筑工程抗震设防分类标准》GB 50223-2008</w:t>
      </w:r>
    </w:p>
    <w:p>
      <w:pPr>
        <w:spacing w:line="360" w:lineRule="auto"/>
        <w:ind w:firstLine="420" w:firstLineChars="200"/>
        <w:rPr>
          <w:highlight w:val="none"/>
        </w:rPr>
      </w:pPr>
      <w:r>
        <w:rPr>
          <w:rFonts w:hint="eastAsia"/>
          <w:highlight w:val="none"/>
        </w:rPr>
        <w:t>17）《建筑照明设计标准》GB 50034-2013</w:t>
      </w:r>
    </w:p>
    <w:p>
      <w:pPr>
        <w:spacing w:line="360" w:lineRule="auto"/>
        <w:ind w:firstLine="420" w:firstLineChars="200"/>
        <w:rPr>
          <w:highlight w:val="none"/>
        </w:rPr>
      </w:pPr>
      <w:r>
        <w:rPr>
          <w:rFonts w:hint="eastAsia"/>
          <w:highlight w:val="none"/>
        </w:rPr>
        <w:t>18）《工业建筑供暖通风与空气调节设计规范》GB 50019-2015</w:t>
      </w:r>
    </w:p>
    <w:p>
      <w:pPr>
        <w:spacing w:line="360" w:lineRule="auto"/>
        <w:ind w:firstLine="420" w:firstLineChars="200"/>
        <w:rPr>
          <w:highlight w:val="none"/>
        </w:rPr>
      </w:pPr>
      <w:r>
        <w:rPr>
          <w:rFonts w:hint="eastAsia"/>
          <w:highlight w:val="none"/>
        </w:rPr>
        <w:t>19）《工业企业厂界环境噪声排放标准》GB 12348-2008</w:t>
      </w:r>
    </w:p>
    <w:p>
      <w:pPr>
        <w:spacing w:line="360" w:lineRule="auto"/>
        <w:ind w:firstLine="420" w:firstLineChars="200"/>
        <w:rPr>
          <w:highlight w:val="none"/>
        </w:rPr>
      </w:pPr>
      <w:r>
        <w:rPr>
          <w:rFonts w:hint="eastAsia"/>
          <w:highlight w:val="none"/>
        </w:rPr>
        <w:t>20）《低压配电设计规范》GB 50054-2011</w:t>
      </w:r>
    </w:p>
    <w:p>
      <w:pPr>
        <w:spacing w:line="360" w:lineRule="auto"/>
        <w:ind w:firstLine="420" w:firstLineChars="200"/>
        <w:rPr>
          <w:highlight w:val="none"/>
        </w:rPr>
      </w:pPr>
      <w:r>
        <w:rPr>
          <w:rFonts w:hint="eastAsia"/>
          <w:highlight w:val="none"/>
        </w:rPr>
        <w:t>21）《安全标志及其使用导则》GB 2894-2008</w:t>
      </w:r>
    </w:p>
    <w:p>
      <w:pPr>
        <w:spacing w:line="360" w:lineRule="auto"/>
        <w:ind w:firstLine="420" w:firstLineChars="200"/>
        <w:rPr>
          <w:highlight w:val="none"/>
        </w:rPr>
      </w:pPr>
      <w:r>
        <w:rPr>
          <w:rFonts w:hint="eastAsia"/>
          <w:highlight w:val="none"/>
        </w:rPr>
        <w:t>22）《安全色》GB 2893-2008</w:t>
      </w:r>
    </w:p>
    <w:p>
      <w:pPr>
        <w:spacing w:line="360" w:lineRule="auto"/>
        <w:ind w:firstLine="420" w:firstLineChars="200"/>
        <w:rPr>
          <w:highlight w:val="none"/>
        </w:rPr>
      </w:pPr>
      <w:r>
        <w:rPr>
          <w:rFonts w:hint="eastAsia"/>
          <w:highlight w:val="none"/>
        </w:rPr>
        <w:t>23）《危险化学品重大危险源辨识》GB 18218-2018</w:t>
      </w:r>
    </w:p>
    <w:p>
      <w:pPr>
        <w:spacing w:line="360" w:lineRule="auto"/>
        <w:ind w:firstLine="420" w:firstLineChars="200"/>
        <w:rPr>
          <w:highlight w:val="none"/>
        </w:rPr>
      </w:pPr>
      <w:r>
        <w:rPr>
          <w:rFonts w:hint="eastAsia"/>
          <w:highlight w:val="none"/>
        </w:rPr>
        <w:t>24）《生产经营单位生产安全事故应急预案编制导则》GB/T29639-2020</w:t>
      </w:r>
    </w:p>
    <w:p>
      <w:pPr>
        <w:spacing w:line="360" w:lineRule="auto"/>
        <w:ind w:firstLine="420" w:firstLineChars="200"/>
        <w:rPr>
          <w:highlight w:val="none"/>
        </w:rPr>
      </w:pPr>
      <w:r>
        <w:rPr>
          <w:rFonts w:hint="eastAsia"/>
          <w:highlight w:val="none"/>
        </w:rPr>
        <w:t>25）《防止静电事故通用导则》GB 12158-2006</w:t>
      </w:r>
    </w:p>
    <w:p>
      <w:pPr>
        <w:spacing w:line="360" w:lineRule="auto"/>
        <w:ind w:firstLine="420" w:firstLineChars="200"/>
        <w:rPr>
          <w:highlight w:val="none"/>
        </w:rPr>
      </w:pPr>
      <w:r>
        <w:rPr>
          <w:rFonts w:hint="eastAsia"/>
          <w:highlight w:val="none"/>
        </w:rPr>
        <w:t>26）《湖北省燃气场站安全检查指南》DB42/T 737-2011</w:t>
      </w:r>
    </w:p>
    <w:p>
      <w:pPr>
        <w:numPr>
          <w:ilvl w:val="0"/>
          <w:numId w:val="5"/>
        </w:numPr>
        <w:spacing w:line="360" w:lineRule="auto"/>
        <w:jc w:val="left"/>
        <w:rPr>
          <w:rFonts w:ascii="宋体" w:hAnsi="宋体" w:cs="宋体"/>
          <w:b/>
          <w:bCs/>
          <w:szCs w:val="21"/>
          <w:highlight w:val="none"/>
        </w:rPr>
      </w:pPr>
      <w:r>
        <w:rPr>
          <w:rFonts w:hint="eastAsia" w:ascii="宋体" w:hAnsi="宋体" w:cs="宋体"/>
          <w:b/>
          <w:bCs/>
          <w:szCs w:val="21"/>
          <w:highlight w:val="none"/>
        </w:rPr>
        <w:t>行业标准</w:t>
      </w:r>
    </w:p>
    <w:p>
      <w:pPr>
        <w:spacing w:line="360" w:lineRule="auto"/>
        <w:ind w:firstLine="420" w:firstLineChars="200"/>
        <w:rPr>
          <w:highlight w:val="none"/>
        </w:rPr>
      </w:pPr>
      <w:r>
        <w:rPr>
          <w:rFonts w:hint="eastAsia"/>
          <w:highlight w:val="none"/>
        </w:rPr>
        <w:t>1）</w:t>
      </w:r>
      <w:r>
        <w:rPr>
          <w:rFonts w:hint="eastAsia"/>
          <w:highlight w:val="none"/>
        </w:rPr>
        <w:tab/>
      </w:r>
      <w:r>
        <w:rPr>
          <w:rFonts w:hint="eastAsia"/>
          <w:highlight w:val="none"/>
        </w:rPr>
        <w:t>《安全评价通则》AQ 8001-2007</w:t>
      </w:r>
    </w:p>
    <w:p>
      <w:pPr>
        <w:spacing w:line="360" w:lineRule="auto"/>
        <w:ind w:firstLine="420" w:firstLineChars="200"/>
        <w:rPr>
          <w:highlight w:val="none"/>
        </w:rPr>
      </w:pPr>
      <w:r>
        <w:rPr>
          <w:rFonts w:hint="eastAsia"/>
          <w:highlight w:val="none"/>
        </w:rPr>
        <w:t>2）</w:t>
      </w:r>
      <w:r>
        <w:rPr>
          <w:rFonts w:hint="eastAsia"/>
          <w:highlight w:val="none"/>
        </w:rPr>
        <w:tab/>
      </w:r>
      <w:r>
        <w:rPr>
          <w:rFonts w:hint="eastAsia"/>
          <w:highlight w:val="none"/>
        </w:rPr>
        <w:t>《危险场所电气防爆安全规范》AQ 3009-2007</w:t>
      </w:r>
    </w:p>
    <w:p>
      <w:pPr>
        <w:spacing w:line="360" w:lineRule="auto"/>
        <w:ind w:firstLine="420" w:firstLineChars="200"/>
        <w:rPr>
          <w:highlight w:val="none"/>
        </w:rPr>
      </w:pPr>
      <w:r>
        <w:rPr>
          <w:rFonts w:hint="eastAsia"/>
          <w:highlight w:val="none"/>
        </w:rPr>
        <w:t>3）</w:t>
      </w:r>
      <w:r>
        <w:rPr>
          <w:rFonts w:hint="eastAsia"/>
          <w:highlight w:val="none"/>
        </w:rPr>
        <w:tab/>
      </w:r>
      <w:r>
        <w:rPr>
          <w:rFonts w:hint="eastAsia"/>
          <w:highlight w:val="none"/>
        </w:rPr>
        <w:t>《城镇燃气设施运行、维护和抢修安全技术规程》CJJ51-2016</w:t>
      </w:r>
    </w:p>
    <w:p>
      <w:pPr>
        <w:spacing w:line="360" w:lineRule="auto"/>
        <w:ind w:firstLine="420" w:firstLineChars="200"/>
        <w:rPr>
          <w:highlight w:val="none"/>
        </w:rPr>
      </w:pPr>
      <w:r>
        <w:rPr>
          <w:rFonts w:hint="eastAsia"/>
          <w:highlight w:val="none"/>
        </w:rPr>
        <w:t>4）</w:t>
      </w:r>
      <w:r>
        <w:rPr>
          <w:rFonts w:hint="eastAsia"/>
          <w:highlight w:val="none"/>
        </w:rPr>
        <w:tab/>
      </w:r>
      <w:r>
        <w:rPr>
          <w:rFonts w:hint="eastAsia"/>
          <w:highlight w:val="none"/>
        </w:rPr>
        <w:t>《城镇燃气加臭技术规程》CJJ/T148.2010</w:t>
      </w:r>
    </w:p>
    <w:p>
      <w:pPr>
        <w:spacing w:line="360" w:lineRule="auto"/>
        <w:ind w:firstLine="420" w:firstLineChars="200"/>
        <w:rPr>
          <w:highlight w:val="none"/>
        </w:rPr>
      </w:pPr>
      <w:r>
        <w:rPr>
          <w:rFonts w:hint="eastAsia"/>
          <w:highlight w:val="none"/>
        </w:rPr>
        <w:t>5）</w:t>
      </w:r>
      <w:r>
        <w:rPr>
          <w:rFonts w:hint="eastAsia"/>
          <w:highlight w:val="none"/>
        </w:rPr>
        <w:tab/>
      </w:r>
      <w:r>
        <w:rPr>
          <w:rFonts w:hint="eastAsia"/>
          <w:highlight w:val="none"/>
        </w:rPr>
        <w:t>《城镇燃气标志标准》CJJ/T 153-2010</w:t>
      </w:r>
    </w:p>
    <w:p>
      <w:pPr>
        <w:spacing w:line="360" w:lineRule="auto"/>
        <w:ind w:firstLine="420" w:firstLineChars="200"/>
        <w:rPr>
          <w:highlight w:val="none"/>
        </w:rPr>
      </w:pPr>
      <w:r>
        <w:rPr>
          <w:rFonts w:hint="eastAsia"/>
          <w:highlight w:val="none"/>
        </w:rPr>
        <w:t>6）</w:t>
      </w:r>
      <w:r>
        <w:rPr>
          <w:rFonts w:hint="eastAsia"/>
          <w:highlight w:val="none"/>
        </w:rPr>
        <w:tab/>
      </w:r>
      <w:r>
        <w:rPr>
          <w:rFonts w:hint="eastAsia"/>
          <w:highlight w:val="none"/>
        </w:rPr>
        <w:t>《固定式压力容器安全技术监察规程》TSG 21-2016</w:t>
      </w:r>
    </w:p>
    <w:p>
      <w:pPr>
        <w:spacing w:line="360" w:lineRule="auto"/>
        <w:ind w:firstLine="420" w:firstLineChars="200"/>
        <w:rPr>
          <w:highlight w:val="none"/>
        </w:rPr>
      </w:pPr>
      <w:r>
        <w:rPr>
          <w:rFonts w:hint="eastAsia"/>
          <w:highlight w:val="none"/>
        </w:rPr>
        <w:t>7）</w:t>
      </w:r>
      <w:r>
        <w:rPr>
          <w:rFonts w:hint="eastAsia"/>
          <w:highlight w:val="none"/>
        </w:rPr>
        <w:tab/>
      </w:r>
      <w:r>
        <w:rPr>
          <w:rFonts w:hint="eastAsia"/>
          <w:highlight w:val="none"/>
        </w:rPr>
        <w:t>《信号报警及联锁系统设计规范》HG/T20511-2014</w:t>
      </w:r>
    </w:p>
    <w:p>
      <w:pPr>
        <w:spacing w:line="360" w:lineRule="auto"/>
        <w:ind w:firstLine="420" w:firstLineChars="200"/>
        <w:rPr>
          <w:highlight w:val="none"/>
        </w:rPr>
      </w:pPr>
      <w:r>
        <w:rPr>
          <w:rFonts w:hint="eastAsia"/>
          <w:highlight w:val="none"/>
        </w:rPr>
        <w:t>8）</w:t>
      </w:r>
      <w:r>
        <w:rPr>
          <w:rFonts w:hint="eastAsia"/>
          <w:highlight w:val="none"/>
        </w:rPr>
        <w:tab/>
      </w:r>
      <w:r>
        <w:rPr>
          <w:rFonts w:hint="eastAsia"/>
          <w:highlight w:val="none"/>
        </w:rPr>
        <w:t>《压力容器定期检验规则》TSGR7001-2013</w:t>
      </w:r>
    </w:p>
    <w:p>
      <w:pPr>
        <w:spacing w:line="360" w:lineRule="auto"/>
        <w:ind w:firstLine="420" w:firstLineChars="200"/>
        <w:rPr>
          <w:highlight w:val="none"/>
        </w:rPr>
      </w:pPr>
      <w:r>
        <w:rPr>
          <w:rFonts w:hint="eastAsia"/>
          <w:highlight w:val="none"/>
        </w:rPr>
        <w:t>9）</w:t>
      </w:r>
      <w:r>
        <w:rPr>
          <w:rFonts w:hint="eastAsia"/>
          <w:highlight w:val="none"/>
        </w:rPr>
        <w:tab/>
      </w:r>
      <w:r>
        <w:rPr>
          <w:rFonts w:hint="eastAsia"/>
          <w:highlight w:val="none"/>
        </w:rPr>
        <w:t>《安全阀安全技术监察规程》TSG ZF 001-2006</w:t>
      </w:r>
    </w:p>
    <w:p>
      <w:pPr>
        <w:spacing w:line="360" w:lineRule="auto"/>
        <w:ind w:firstLine="420" w:firstLineChars="200"/>
        <w:rPr>
          <w:highlight w:val="none"/>
        </w:rPr>
        <w:sectPr>
          <w:pgSz w:w="11906" w:h="16838"/>
          <w:pgMar w:top="1417" w:right="1417" w:bottom="1417" w:left="1417" w:header="851" w:footer="992" w:gutter="0"/>
          <w:cols w:space="720" w:num="1"/>
          <w:docGrid w:type="lines" w:linePitch="312" w:charSpace="0"/>
        </w:sectPr>
      </w:pPr>
      <w:r>
        <w:rPr>
          <w:rFonts w:hint="eastAsia"/>
          <w:highlight w:val="none"/>
        </w:rPr>
        <w:t>10）《压力管道安全技术监察规程</w:t>
      </w:r>
      <w:r>
        <w:rPr>
          <w:color w:val="000000"/>
          <w:sz w:val="26"/>
          <w:szCs w:val="26"/>
          <w:highlight w:val="none"/>
          <w:lang w:val="zh-CN" w:bidi="zh-CN"/>
        </w:rPr>
        <w:t>■</w:t>
      </w:r>
      <w:r>
        <w:rPr>
          <w:rFonts w:hint="eastAsia"/>
          <w:highlight w:val="none"/>
        </w:rPr>
        <w:t>工业管道》TSGD0001-2009</w:t>
      </w:r>
    </w:p>
    <w:p>
      <w:pPr>
        <w:pStyle w:val="3"/>
        <w:numPr>
          <w:ilvl w:val="0"/>
          <w:numId w:val="0"/>
        </w:numPr>
        <w:spacing w:line="240" w:lineRule="auto"/>
        <w:ind w:leftChars="0"/>
        <w:jc w:val="center"/>
        <w:rPr>
          <w:rFonts w:hint="eastAsia" w:ascii="宋体" w:hAnsi="宋体"/>
          <w:color w:val="000000"/>
          <w:sz w:val="36"/>
          <w:szCs w:val="36"/>
          <w:highlight w:val="none"/>
        </w:rPr>
      </w:pPr>
      <w:bookmarkStart w:id="43" w:name="_Toc26669"/>
      <w:r>
        <w:rPr>
          <w:rFonts w:hint="eastAsia" w:ascii="宋体" w:hAnsi="宋体"/>
          <w:color w:val="000000"/>
          <w:sz w:val="36"/>
          <w:szCs w:val="36"/>
          <w:highlight w:val="none"/>
        </w:rPr>
        <w:t>附件：《获取采购文件方式》</w:t>
      </w:r>
      <w:bookmarkEnd w:id="4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招标/采购文件支持线上领取：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1、领取采购文件需提供的资料：</w:t>
      </w:r>
      <w:bookmarkStart w:id="44" w:name="_GoBack"/>
      <w:bookmarkEnd w:id="4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（1）法定代表人身份证明书原件及法定代表人身份证扫描件；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（2）法定代表人授权书原件及被授权人身份证扫描件；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（3）文件获取登记表；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2、线上领取：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将上述资料（1）或（2）、（3）的扫描件在获取文件截止时间之前发送邮件至项目联系人邮箱（以项目负责人收到邮件的时间为准），邮件正文中附上供应商单位的收件信息。本项目采购文件纸质版将按照文件获取登记表中的地址及授权代表信息快递到付至供应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请采用线上领取方式的供应商在邮件发出后联系招标代理机构。供应商如需采购文件电子版可发送邮件至</w:t>
      </w:r>
      <w:r>
        <w:rPr>
          <w:highlight w:val="none"/>
        </w:rPr>
        <w:fldChar w:fldCharType="begin"/>
      </w:r>
      <w:r>
        <w:rPr>
          <w:highlight w:val="none"/>
        </w:rPr>
        <w:instrText xml:space="preserve"> HYPERLINK "mailto:879371880@qq.com（标书电子版索取）" </w:instrText>
      </w:r>
      <w:r>
        <w:rPr>
          <w:highlight w:val="none"/>
        </w:rPr>
        <w:fldChar w:fldCharType="separate"/>
      </w:r>
      <w:r>
        <w:rPr>
          <w:rFonts w:hint="eastAsia" w:ascii="宋体" w:hAnsi="宋体" w:cs="宋体"/>
          <w:szCs w:val="21"/>
          <w:highlight w:val="none"/>
        </w:rPr>
        <w:t>3357441256</w:t>
      </w:r>
      <w:r>
        <w:rPr>
          <w:rFonts w:ascii="宋体" w:hAnsi="宋体" w:cs="宋体"/>
          <w:szCs w:val="21"/>
          <w:highlight w:val="none"/>
        </w:rPr>
        <w:t>@qq.com</w:t>
      </w:r>
      <w:r>
        <w:rPr>
          <w:rFonts w:ascii="宋体" w:hAnsi="宋体" w:cs="宋体"/>
          <w:szCs w:val="21"/>
          <w:highlight w:val="none"/>
        </w:rPr>
        <w:fldChar w:fldCharType="end"/>
      </w:r>
      <w:r>
        <w:rPr>
          <w:rFonts w:hint="eastAsia" w:ascii="宋体" w:hAnsi="宋体" w:cs="宋体"/>
          <w:szCs w:val="21"/>
          <w:highlight w:val="none"/>
        </w:rPr>
        <w:t>获取。</w:t>
      </w:r>
    </w:p>
    <w:p>
      <w:pPr>
        <w:spacing w:line="360" w:lineRule="auto"/>
        <w:jc w:val="center"/>
        <w:rPr>
          <w:rFonts w:ascii="宋体" w:hAnsi="宋体" w:cs="宋体"/>
          <w:b/>
          <w:szCs w:val="21"/>
          <w:highlight w:val="none"/>
        </w:rPr>
      </w:pPr>
      <w:r>
        <w:rPr>
          <w:rFonts w:hint="eastAsia" w:ascii="宋体" w:hAnsi="宋体" w:cs="宋体"/>
          <w:b/>
          <w:szCs w:val="21"/>
          <w:highlight w:val="none"/>
        </w:rPr>
        <w:t>文件获取登记表</w:t>
      </w:r>
    </w:p>
    <w:tbl>
      <w:tblPr>
        <w:tblStyle w:val="5"/>
        <w:tblW w:w="9180" w:type="dxa"/>
        <w:tblInd w:w="0" w:type="dxa"/>
        <w:tblLayout w:type="fixed"/>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810" w:hRule="atLeast"/>
        </w:trPr>
        <w:tc>
          <w:tcPr>
            <w:tcW w:w="24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项目名称</w:t>
            </w:r>
          </w:p>
        </w:tc>
        <w:tc>
          <w:tcPr>
            <w:tcW w:w="674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项目编号</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包号</w:t>
            </w: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供应商</w:t>
            </w:r>
          </w:p>
        </w:tc>
        <w:tc>
          <w:tcPr>
            <w:tcW w:w="674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纳税人识别号/统一社会信用代码</w:t>
            </w:r>
          </w:p>
        </w:tc>
        <w:tc>
          <w:tcPr>
            <w:tcW w:w="674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授权代表</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联系电话</w:t>
            </w: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地址</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邮箱</w:t>
            </w:r>
          </w:p>
        </w:tc>
        <w:tc>
          <w:tcPr>
            <w:tcW w:w="224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highlight w:val="none"/>
              </w:rPr>
            </w:pPr>
          </w:p>
        </w:tc>
      </w:tr>
    </w:tbl>
    <w:p>
      <w:pPr>
        <w:spacing w:line="360" w:lineRule="auto"/>
        <w:ind w:firstLine="420" w:firstLineChars="200"/>
        <w:rPr>
          <w:rFonts w:ascii="宋体" w:hAnsi="宋体" w:cs="宋体"/>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after="200"/>
      <w:jc w:val="center"/>
      <w:rPr>
        <w:rFonts w:ascii="Tahoma" w:hAnsi="Tahoma" w:eastAsia="微软雅黑" w:cstheme="minorBidi"/>
        <w:sz w:val="18"/>
        <w:szCs w:val="18"/>
      </w:rPr>
    </w:pPr>
    <w:r>
      <w:rPr>
        <w:rFonts w:eastAsia="微软雅黑"/>
        <w:sz w:val="18"/>
        <w:szCs w:val="18"/>
        <w:lang w:val="zh-CN"/>
      </w:rPr>
      <w:t xml:space="preserve"> </w:t>
    </w:r>
  </w:p>
  <w:p>
    <w:pPr>
      <w:adjustRightInd w:val="0"/>
      <w:snapToGrid w:val="0"/>
      <w:spacing w:after="200"/>
      <w:rPr>
        <w:rFonts w:ascii="Tahoma" w:hAnsi="Tahoma" w:eastAsia="微软雅黑" w:cstheme="minorBid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after="200"/>
      <w:jc w:val="center"/>
      <w:rPr>
        <w:rFonts w:ascii="Tahoma" w:hAnsi="Tahoma" w:eastAsia="微软雅黑" w:cstheme="min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87E7A"/>
    <w:multiLevelType w:val="singleLevel"/>
    <w:tmpl w:val="A3187E7A"/>
    <w:lvl w:ilvl="0" w:tentative="0">
      <w:start w:val="1"/>
      <w:numFmt w:val="chineseCounting"/>
      <w:suff w:val="nothing"/>
      <w:lvlText w:val="（%1）"/>
      <w:lvlJc w:val="left"/>
      <w:pPr>
        <w:ind w:left="0" w:firstLine="420"/>
      </w:pPr>
      <w:rPr>
        <w:rFonts w:hint="eastAsia"/>
      </w:rPr>
    </w:lvl>
  </w:abstractNum>
  <w:abstractNum w:abstractNumId="1">
    <w:nsid w:val="C2BAB833"/>
    <w:multiLevelType w:val="singleLevel"/>
    <w:tmpl w:val="C2BAB833"/>
    <w:lvl w:ilvl="0" w:tentative="0">
      <w:start w:val="1"/>
      <w:numFmt w:val="decimal"/>
      <w:lvlText w:val="(%1)"/>
      <w:lvlJc w:val="left"/>
      <w:pPr>
        <w:ind w:left="425" w:hanging="425"/>
      </w:pPr>
      <w:rPr>
        <w:rFonts w:hint="default"/>
      </w:rPr>
    </w:lvl>
  </w:abstractNum>
  <w:abstractNum w:abstractNumId="2">
    <w:nsid w:val="EE5BE654"/>
    <w:multiLevelType w:val="singleLevel"/>
    <w:tmpl w:val="EE5BE654"/>
    <w:lvl w:ilvl="0" w:tentative="0">
      <w:start w:val="1"/>
      <w:numFmt w:val="decimal"/>
      <w:lvlText w:val="(%1)"/>
      <w:lvlJc w:val="left"/>
      <w:pPr>
        <w:ind w:left="425" w:hanging="425"/>
      </w:pPr>
      <w:rPr>
        <w:rFonts w:hint="default"/>
      </w:rPr>
    </w:lvl>
  </w:abstractNum>
  <w:abstractNum w:abstractNumId="3">
    <w:nsid w:val="F8512F27"/>
    <w:multiLevelType w:val="singleLevel"/>
    <w:tmpl w:val="F8512F27"/>
    <w:lvl w:ilvl="0" w:tentative="0">
      <w:start w:val="1"/>
      <w:numFmt w:val="decimal"/>
      <w:lvlText w:val="(%1)"/>
      <w:lvlJc w:val="left"/>
      <w:pPr>
        <w:ind w:left="425" w:hanging="425"/>
      </w:pPr>
      <w:rPr>
        <w:rFonts w:hint="default"/>
      </w:rPr>
    </w:lvl>
  </w:abstractNum>
  <w:abstractNum w:abstractNumId="4">
    <w:nsid w:val="2DAAA93A"/>
    <w:multiLevelType w:val="singleLevel"/>
    <w:tmpl w:val="2DAAA93A"/>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87436"/>
    <w:rsid w:val="3818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table" w:styleId="6">
    <w:name w:val="Table Grid"/>
    <w:basedOn w:val="5"/>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2022-07-14T08:45:00Z</dcterms:created>
  <dc:creator>程浩</dc:creator>
  <cp:lastModifiedBy>程浩</cp:lastModifiedBy>
  <dcterms:modified xsi:type="dcterms:W3CDTF">2022-07-14T08:46:12Z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