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44"/>
          <w:szCs w:val="44"/>
        </w:rPr>
      </w:pPr>
    </w:p>
    <w:p>
      <w:pPr>
        <w:jc w:val="center"/>
        <w:rPr>
          <w:rFonts w:ascii="宋体" w:hAnsi="宋体" w:eastAsia="宋体"/>
          <w:sz w:val="44"/>
          <w:szCs w:val="44"/>
        </w:rPr>
      </w:pPr>
      <w:r>
        <w:rPr>
          <w:rFonts w:hint="eastAsia" w:ascii="宋体" w:hAnsi="宋体" w:eastAsia="宋体"/>
          <w:sz w:val="44"/>
          <w:szCs w:val="44"/>
        </w:rPr>
        <w:t>丁字港</w:t>
      </w:r>
      <w:r>
        <w:rPr>
          <w:rFonts w:ascii="宋体" w:hAnsi="宋体" w:eastAsia="宋体"/>
          <w:sz w:val="44"/>
          <w:szCs w:val="44"/>
        </w:rPr>
        <w:t>1～2号桥、琴断口桥、朱湖新港桥、三角港桥维修改造工程</w:t>
      </w:r>
    </w:p>
    <w:p>
      <w:pPr>
        <w:jc w:val="center"/>
        <w:rPr>
          <w:rFonts w:ascii="宋体" w:hAnsi="宋体" w:eastAsia="宋体"/>
          <w:sz w:val="44"/>
          <w:szCs w:val="44"/>
        </w:rPr>
      </w:pPr>
      <w:r>
        <w:rPr>
          <w:rFonts w:ascii="宋体" w:hAnsi="宋体" w:eastAsia="宋体"/>
          <w:sz w:val="44"/>
          <w:szCs w:val="44"/>
        </w:rPr>
        <w:t>施工期间交通组织方案</w:t>
      </w: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widowControl/>
        <w:jc w:val="left"/>
        <w:rPr>
          <w:rFonts w:ascii="宋体" w:hAnsi="宋体" w:eastAsia="宋体"/>
          <w:sz w:val="44"/>
          <w:szCs w:val="44"/>
        </w:rPr>
      </w:pPr>
      <w:r>
        <w:rPr>
          <w:rFonts w:ascii="宋体" w:hAnsi="宋体" w:eastAsia="宋体"/>
          <w:sz w:val="44"/>
          <w:szCs w:val="44"/>
        </w:rPr>
        <w:br w:type="page"/>
      </w:r>
    </w:p>
    <w:p>
      <w:pPr>
        <w:jc w:val="center"/>
        <w:rPr>
          <w:rFonts w:ascii="宋体" w:hAnsi="宋体" w:eastAsia="宋体"/>
          <w:sz w:val="44"/>
          <w:szCs w:val="44"/>
        </w:rPr>
      </w:pPr>
      <w:r>
        <w:rPr>
          <w:rFonts w:hint="eastAsia" w:ascii="宋体" w:hAnsi="宋体" w:eastAsia="宋体"/>
          <w:sz w:val="44"/>
          <w:szCs w:val="44"/>
        </w:rPr>
        <w:t>丁字港</w:t>
      </w:r>
      <w:r>
        <w:rPr>
          <w:rFonts w:ascii="宋体" w:hAnsi="宋体" w:eastAsia="宋体"/>
          <w:sz w:val="44"/>
          <w:szCs w:val="44"/>
        </w:rPr>
        <w:t>1～2号桥、琴断口桥、朱湖新港桥、三角港桥维修改造工程</w:t>
      </w:r>
    </w:p>
    <w:p>
      <w:pPr>
        <w:jc w:val="center"/>
        <w:rPr>
          <w:rFonts w:ascii="宋体" w:hAnsi="宋体" w:eastAsia="宋体"/>
          <w:sz w:val="44"/>
          <w:szCs w:val="44"/>
        </w:rPr>
      </w:pPr>
      <w:r>
        <w:rPr>
          <w:rFonts w:ascii="宋体" w:hAnsi="宋体" w:eastAsia="宋体"/>
          <w:sz w:val="44"/>
          <w:szCs w:val="44"/>
        </w:rPr>
        <w:t>施工期间交通组织方案</w:t>
      </w:r>
    </w:p>
    <w:p>
      <w:pPr>
        <w:pStyle w:val="2"/>
        <w:spacing w:before="0" w:after="0" w:line="360" w:lineRule="auto"/>
        <w:rPr>
          <w:rFonts w:ascii="仿宋" w:hAnsi="仿宋" w:eastAsia="仿宋" w:cs="System"/>
          <w:kern w:val="0"/>
        </w:rPr>
      </w:pPr>
      <w:r>
        <w:rPr>
          <w:rFonts w:hint="eastAsia" w:ascii="仿宋" w:hAnsi="仿宋" w:eastAsia="仿宋" w:cs="System"/>
          <w:kern w:val="0"/>
        </w:rPr>
        <w:t>一、工程概况</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（一）项目概况</w:t>
      </w:r>
    </w:p>
    <w:p>
      <w:pPr>
        <w:autoSpaceDE w:val="0"/>
        <w:autoSpaceDN w:val="0"/>
        <w:adjustRightInd w:val="0"/>
        <w:spacing w:line="360" w:lineRule="auto"/>
        <w:ind w:firstLine="600" w:firstLineChars="200"/>
        <w:rPr>
          <w:rFonts w:ascii="仿宋" w:hAnsi="仿宋" w:eastAsia="仿宋"/>
          <w:sz w:val="30"/>
          <w:szCs w:val="30"/>
        </w:rPr>
      </w:pPr>
      <w:r>
        <w:rPr>
          <w:rFonts w:hint="eastAsia" w:ascii="仿宋" w:hAnsi="仿宋" w:eastAsia="仿宋"/>
          <w:sz w:val="30"/>
          <w:szCs w:val="30"/>
        </w:rPr>
        <w:t>根据检测报告显示，丁字港1</w:t>
      </w:r>
      <w:r>
        <w:rPr>
          <w:rFonts w:ascii="仿宋" w:hAnsi="仿宋" w:eastAsia="仿宋"/>
          <w:sz w:val="30"/>
          <w:szCs w:val="30"/>
        </w:rPr>
        <w:t>~2</w:t>
      </w:r>
      <w:r>
        <w:rPr>
          <w:rFonts w:hint="eastAsia" w:ascii="仿宋" w:hAnsi="仿宋" w:eastAsia="仿宋"/>
          <w:sz w:val="30"/>
          <w:szCs w:val="30"/>
        </w:rPr>
        <w:t>号桥、琴断口桥、朱湖新港桥、三角港桥五座桥虽然整体状况较好，但有近1</w:t>
      </w:r>
      <w:r>
        <w:rPr>
          <w:rFonts w:ascii="仿宋" w:hAnsi="仿宋" w:eastAsia="仿宋"/>
          <w:sz w:val="30"/>
          <w:szCs w:val="30"/>
        </w:rPr>
        <w:t>/3</w:t>
      </w:r>
      <w:r>
        <w:rPr>
          <w:rFonts w:hint="eastAsia" w:ascii="仿宋" w:hAnsi="仿宋" w:eastAsia="仿宋"/>
          <w:sz w:val="30"/>
          <w:szCs w:val="30"/>
        </w:rPr>
        <w:t>支座均存在不同程度的病害，支座的病害严重影响桥梁结构的运营安全。</w:t>
      </w:r>
    </w:p>
    <w:p>
      <w:pPr>
        <w:autoSpaceDE w:val="0"/>
        <w:autoSpaceDN w:val="0"/>
        <w:adjustRightInd w:val="0"/>
        <w:spacing w:line="360" w:lineRule="auto"/>
        <w:ind w:firstLine="640" w:firstLineChars="200"/>
        <w:rPr>
          <w:rFonts w:ascii="仿宋" w:hAnsi="仿宋" w:eastAsia="仿宋" w:cs="System"/>
          <w:kern w:val="0"/>
          <w:sz w:val="32"/>
          <w:szCs w:val="32"/>
        </w:rPr>
      </w:pPr>
      <w:r>
        <w:rPr>
          <w:rFonts w:hint="eastAsia" w:ascii="仿宋" w:hAnsi="仿宋" w:eastAsia="仿宋" w:cs="System"/>
          <w:kern w:val="0"/>
          <w:sz w:val="32"/>
          <w:szCs w:val="32"/>
        </w:rPr>
        <w:t>此外，桥面铺装存在较长较宽的纵向裂缝，结合箱梁底部铰缝渗水、砂浆脱落的情况，说明部分空心板梁间铰缝横向连接已经很薄弱，支座脱空对铰缝工作状态会产生不良影响，会进一步加剧铰缝损害。</w:t>
      </w:r>
    </w:p>
    <w:p>
      <w:pPr>
        <w:autoSpaceDE w:val="0"/>
        <w:autoSpaceDN w:val="0"/>
        <w:adjustRightInd w:val="0"/>
        <w:spacing w:line="360" w:lineRule="auto"/>
        <w:ind w:firstLine="640" w:firstLineChars="200"/>
        <w:rPr>
          <w:rFonts w:ascii="仿宋" w:hAnsi="仿宋" w:eastAsia="仿宋" w:cs="System"/>
          <w:kern w:val="0"/>
          <w:sz w:val="32"/>
          <w:szCs w:val="32"/>
        </w:rPr>
      </w:pPr>
      <w:r>
        <w:rPr>
          <w:rFonts w:hint="eastAsia" w:ascii="仿宋" w:hAnsi="仿宋" w:eastAsia="仿宋" w:cs="System"/>
          <w:kern w:val="0"/>
          <w:sz w:val="32"/>
          <w:szCs w:val="32"/>
        </w:rPr>
        <w:t>为保障桥梁结构的运营安全，需要对桥梁进行维修改造设计，维修内容包含（1）支座更换（顶升施工）；（2）混凝土结构耐久性恢复；（3）板梁梁底贴碳布加固；（4）铰缝病害处理；（5）更换桥面铺装（连续配筋）；（6）防撞护栏修复。</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（二）桥梁地理位置</w:t>
      </w:r>
    </w:p>
    <w:p>
      <w:pPr>
        <w:autoSpaceDE w:val="0"/>
        <w:autoSpaceDN w:val="0"/>
        <w:adjustRightInd w:val="0"/>
        <w:spacing w:line="360" w:lineRule="auto"/>
        <w:ind w:firstLine="640" w:firstLineChars="200"/>
        <w:rPr>
          <w:rFonts w:ascii="仿宋" w:hAnsi="仿宋" w:eastAsia="仿宋" w:cs="System"/>
          <w:kern w:val="0"/>
          <w:sz w:val="32"/>
          <w:szCs w:val="32"/>
        </w:rPr>
      </w:pPr>
      <w:r>
        <w:rPr>
          <w:rFonts w:hint="eastAsia" w:ascii="仿宋" w:hAnsi="仿宋" w:eastAsia="仿宋" w:cs="System"/>
          <w:kern w:val="0"/>
          <w:sz w:val="32"/>
          <w:szCs w:val="32"/>
        </w:rPr>
        <w:t>丁字港1～2号桥、琴断口桥、朱湖新港桥、三角港桥位于三环线地面层西段，其中，琴断口桥位于米粮山立交与孟家铺立交之间，距离三环线孟家铺立交方向往琴台大道方向匝道以北1</w:t>
      </w:r>
      <w:r>
        <w:rPr>
          <w:rFonts w:ascii="仿宋" w:hAnsi="仿宋" w:eastAsia="仿宋" w:cs="System"/>
          <w:kern w:val="0"/>
          <w:sz w:val="32"/>
          <w:szCs w:val="32"/>
        </w:rPr>
        <w:t>70</w:t>
      </w:r>
      <w:r>
        <w:rPr>
          <w:rFonts w:hint="eastAsia" w:ascii="仿宋" w:hAnsi="仿宋" w:eastAsia="仿宋" w:cs="System"/>
          <w:kern w:val="0"/>
          <w:sz w:val="32"/>
          <w:szCs w:val="32"/>
        </w:rPr>
        <w:t>米；丁字港1～2号桥、朱湖新港桥、三角港桥位于孟家铺立交与汪家嘴立交之间。</w:t>
      </w:r>
    </w:p>
    <w:p>
      <w:pPr>
        <w:autoSpaceDE w:val="0"/>
        <w:autoSpaceDN w:val="0"/>
        <w:adjustRightInd w:val="0"/>
        <w:spacing w:line="360" w:lineRule="auto"/>
        <w:rPr>
          <w:rFonts w:ascii="仿宋" w:hAnsi="仿宋" w:eastAsia="仿宋" w:cs="System"/>
          <w:kern w:val="0"/>
          <w:sz w:val="32"/>
          <w:szCs w:val="32"/>
        </w:rPr>
      </w:pPr>
      <w:r>
        <w:drawing>
          <wp:inline distT="0" distB="0" distL="0" distR="0">
            <wp:extent cx="5274310" cy="58077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580771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sz w:val="30"/>
          <w:szCs w:val="30"/>
        </w:rPr>
      </w:pPr>
      <w:bookmarkStart w:id="0" w:name="_Hlk22560175"/>
      <w:r>
        <w:rPr>
          <w:rFonts w:hint="eastAsia" w:ascii="仿宋" w:hAnsi="仿宋" w:eastAsia="仿宋"/>
          <w:b/>
          <w:sz w:val="30"/>
          <w:szCs w:val="30"/>
        </w:rPr>
        <w:t>三角港桥</w:t>
      </w:r>
      <w:r>
        <w:rPr>
          <w:rFonts w:hint="eastAsia" w:ascii="仿宋" w:hAnsi="仿宋" w:eastAsia="仿宋"/>
          <w:sz w:val="30"/>
          <w:szCs w:val="30"/>
        </w:rPr>
        <w:t>全长2</w:t>
      </w:r>
      <w:r>
        <w:rPr>
          <w:rFonts w:ascii="仿宋" w:hAnsi="仿宋" w:eastAsia="仿宋"/>
          <w:sz w:val="30"/>
          <w:szCs w:val="30"/>
        </w:rPr>
        <w:t>6</w:t>
      </w:r>
      <w:r>
        <w:rPr>
          <w:rFonts w:hint="eastAsia" w:ascii="仿宋" w:hAnsi="仿宋" w:eastAsia="仿宋"/>
          <w:sz w:val="30"/>
          <w:szCs w:val="30"/>
        </w:rPr>
        <w:t>米，距离朱湖新港桥1</w:t>
      </w:r>
      <w:r>
        <w:rPr>
          <w:rFonts w:ascii="仿宋" w:hAnsi="仿宋" w:eastAsia="仿宋"/>
          <w:sz w:val="30"/>
          <w:szCs w:val="30"/>
        </w:rPr>
        <w:t>.6km</w:t>
      </w:r>
      <w:r>
        <w:rPr>
          <w:rFonts w:hint="eastAsia" w:ascii="仿宋" w:hAnsi="仿宋" w:eastAsia="仿宋"/>
          <w:sz w:val="30"/>
          <w:szCs w:val="30"/>
        </w:rPr>
        <w:t>；</w:t>
      </w:r>
      <w:r>
        <w:rPr>
          <w:rFonts w:hint="eastAsia" w:ascii="仿宋" w:hAnsi="仿宋" w:eastAsia="仿宋"/>
          <w:b/>
          <w:sz w:val="30"/>
          <w:szCs w:val="30"/>
        </w:rPr>
        <w:t>朱湖新港桥长4</w:t>
      </w:r>
      <w:r>
        <w:rPr>
          <w:rFonts w:ascii="仿宋" w:hAnsi="仿宋" w:eastAsia="仿宋"/>
          <w:b/>
          <w:sz w:val="30"/>
          <w:szCs w:val="30"/>
        </w:rPr>
        <w:t>6.5</w:t>
      </w:r>
      <w:r>
        <w:rPr>
          <w:rFonts w:hint="eastAsia" w:ascii="仿宋" w:hAnsi="仿宋" w:eastAsia="仿宋"/>
          <w:b/>
          <w:sz w:val="30"/>
          <w:szCs w:val="30"/>
        </w:rPr>
        <w:t>米、丁字港2号桥长3</w:t>
      </w:r>
      <w:r>
        <w:rPr>
          <w:rFonts w:ascii="仿宋" w:hAnsi="仿宋" w:eastAsia="仿宋"/>
          <w:b/>
          <w:sz w:val="30"/>
          <w:szCs w:val="30"/>
        </w:rPr>
        <w:t>3</w:t>
      </w:r>
      <w:r>
        <w:rPr>
          <w:rFonts w:hint="eastAsia" w:ascii="仿宋" w:hAnsi="仿宋" w:eastAsia="仿宋"/>
          <w:b/>
          <w:sz w:val="30"/>
          <w:szCs w:val="30"/>
        </w:rPr>
        <w:t>米、丁字港1号桥长1</w:t>
      </w:r>
      <w:r>
        <w:rPr>
          <w:rFonts w:ascii="仿宋" w:hAnsi="仿宋" w:eastAsia="仿宋"/>
          <w:b/>
          <w:sz w:val="30"/>
          <w:szCs w:val="30"/>
        </w:rPr>
        <w:t>9</w:t>
      </w:r>
      <w:r>
        <w:rPr>
          <w:rFonts w:hint="eastAsia" w:ascii="仿宋" w:hAnsi="仿宋" w:eastAsia="仿宋"/>
          <w:b/>
          <w:sz w:val="30"/>
          <w:szCs w:val="30"/>
        </w:rPr>
        <w:t>米</w:t>
      </w:r>
      <w:r>
        <w:rPr>
          <w:rFonts w:hint="eastAsia" w:ascii="仿宋" w:hAnsi="仿宋" w:eastAsia="仿宋"/>
          <w:sz w:val="30"/>
          <w:szCs w:val="30"/>
        </w:rPr>
        <w:t>，相互距离较近，分别间隔4</w:t>
      </w:r>
      <w:r>
        <w:rPr>
          <w:rFonts w:ascii="仿宋" w:hAnsi="仿宋" w:eastAsia="仿宋"/>
          <w:sz w:val="30"/>
          <w:szCs w:val="30"/>
        </w:rPr>
        <w:t>50</w:t>
      </w:r>
      <w:r>
        <w:rPr>
          <w:rFonts w:hint="eastAsia" w:ascii="仿宋" w:hAnsi="仿宋" w:eastAsia="仿宋"/>
          <w:sz w:val="30"/>
          <w:szCs w:val="30"/>
        </w:rPr>
        <w:t>米、3</w:t>
      </w:r>
      <w:r>
        <w:rPr>
          <w:rFonts w:ascii="仿宋" w:hAnsi="仿宋" w:eastAsia="仿宋"/>
          <w:sz w:val="30"/>
          <w:szCs w:val="30"/>
        </w:rPr>
        <w:t>35</w:t>
      </w:r>
      <w:r>
        <w:rPr>
          <w:rFonts w:hint="eastAsia" w:ascii="仿宋" w:hAnsi="仿宋" w:eastAsia="仿宋"/>
          <w:sz w:val="30"/>
          <w:szCs w:val="30"/>
        </w:rPr>
        <w:t>米；</w:t>
      </w:r>
      <w:r>
        <w:rPr>
          <w:rFonts w:hint="eastAsia" w:ascii="仿宋" w:hAnsi="仿宋" w:eastAsia="仿宋"/>
          <w:b/>
          <w:sz w:val="30"/>
          <w:szCs w:val="30"/>
        </w:rPr>
        <w:t>琴断口桥</w:t>
      </w:r>
      <w:r>
        <w:rPr>
          <w:rFonts w:hint="eastAsia" w:ascii="仿宋" w:hAnsi="仿宋" w:eastAsia="仿宋"/>
          <w:sz w:val="30"/>
          <w:szCs w:val="30"/>
        </w:rPr>
        <w:t>长2</w:t>
      </w:r>
      <w:r>
        <w:rPr>
          <w:rFonts w:ascii="仿宋" w:hAnsi="仿宋" w:eastAsia="仿宋"/>
          <w:sz w:val="30"/>
          <w:szCs w:val="30"/>
        </w:rPr>
        <w:t>6</w:t>
      </w:r>
      <w:r>
        <w:rPr>
          <w:rFonts w:hint="eastAsia" w:ascii="仿宋" w:hAnsi="仿宋" w:eastAsia="仿宋"/>
          <w:sz w:val="30"/>
          <w:szCs w:val="30"/>
        </w:rPr>
        <w:t>米，距离丁字港1号桥2</w:t>
      </w:r>
      <w:r>
        <w:rPr>
          <w:rFonts w:ascii="仿宋" w:hAnsi="仿宋" w:eastAsia="仿宋"/>
          <w:sz w:val="30"/>
          <w:szCs w:val="30"/>
        </w:rPr>
        <w:t>.2km</w:t>
      </w:r>
      <w:r>
        <w:rPr>
          <w:rFonts w:hint="eastAsia" w:ascii="仿宋" w:hAnsi="仿宋" w:eastAsia="仿宋"/>
          <w:sz w:val="30"/>
          <w:szCs w:val="30"/>
        </w:rPr>
        <w:t>。</w:t>
      </w:r>
    </w:p>
    <w:bookmarkEnd w:id="0"/>
    <w:p>
      <w:pPr>
        <w:pStyle w:val="2"/>
        <w:spacing w:before="0" w:after="0" w:line="360" w:lineRule="auto"/>
        <w:rPr>
          <w:rFonts w:ascii="仿宋" w:hAnsi="仿宋" w:eastAsia="仿宋" w:cs="System"/>
          <w:kern w:val="0"/>
        </w:rPr>
      </w:pPr>
      <w:r>
        <w:rPr>
          <w:rFonts w:hint="eastAsia" w:ascii="仿宋" w:hAnsi="仿宋" w:eastAsia="仿宋" w:cs="System"/>
          <w:kern w:val="0"/>
        </w:rPr>
        <w:t>二、占道情况及交通影响评估</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（一）施工占道</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根据工程内容：</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1、在桥梁进行支座更换时，需对桥梁进行顶升施工，桥面荷载对桥梁影响较大。</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2、更换桥面铺装时，设计为连续配筋，为保证路面施工质量，需将半幅道路桥梁一次性打围施工。</w:t>
      </w:r>
    </w:p>
    <w:p>
      <w:pPr>
        <w:autoSpaceDE w:val="0"/>
        <w:autoSpaceDN w:val="0"/>
        <w:adjustRightInd w:val="0"/>
        <w:spacing w:line="360" w:lineRule="auto"/>
        <w:rPr>
          <w:rFonts w:ascii="仿宋" w:hAnsi="仿宋" w:eastAsia="仿宋"/>
          <w:b/>
          <w:sz w:val="30"/>
          <w:szCs w:val="30"/>
        </w:rPr>
      </w:pPr>
      <w:r>
        <w:drawing>
          <wp:inline distT="0" distB="0" distL="0" distR="0">
            <wp:extent cx="5274310" cy="19392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193929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（二）现状流量</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丁字港1~2号桥、朱湖新港桥、三角湖桥位于孟家铺立交、汪家嘴立交上、下匝道之间，通行以上4座桥流量基本为地面层到发性交通流量。</w:t>
      </w:r>
    </w:p>
    <w:p>
      <w:pPr>
        <w:autoSpaceDE w:val="0"/>
        <w:autoSpaceDN w:val="0"/>
        <w:adjustRightInd w:val="0"/>
        <w:spacing w:line="360" w:lineRule="auto"/>
        <w:ind w:firstLine="602" w:firstLineChars="200"/>
        <w:rPr>
          <w:rFonts w:ascii="仿宋" w:hAnsi="仿宋" w:eastAsia="仿宋"/>
          <w:b/>
          <w:sz w:val="30"/>
          <w:szCs w:val="30"/>
        </w:rPr>
      </w:pP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而沿线村落、企业基本分布在丁字港1号桥和朱湖新港桥之间，因此：</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1、通行三角港桥流量较小，双向流量675pcu/h。</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2、通行丁字港1号桥至朱湖新港桥双向流量1365pcu/h，其中北往南的665pcu/h流量中，有370pcu/h流量在绿化带开口掉头向北行驶。</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3、北向南货车95辆/小时，占比16.6%，南向北货车115辆/小时，占比19.6%。</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以上四座桥施工封闭三环线半幅道路时，主要需要解决沿线企业及村落进出问题。</w:t>
      </w:r>
      <w:r>
        <w:drawing>
          <wp:inline distT="0" distB="0" distL="0" distR="0">
            <wp:extent cx="5274310" cy="53473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534733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琴断口桥位于三环线往来汉蔡高速（琴台大道）上下匝道之间。</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通行琴断口桥双向流量3376pcu/h，北向南流量1300pcu/h，大车124辆/小时，占比10.5%；</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南向北流量2076pcu/h，其中，有984pcu/h流量是往汉蔡高速方向行驶，大车108辆/小时，占比12.3%，1092pcu/h流量往长丰桥方向，大车112辆/小时，占比11.4%。</w:t>
      </w:r>
    </w:p>
    <w:p>
      <w:pPr>
        <w:autoSpaceDE w:val="0"/>
        <w:autoSpaceDN w:val="0"/>
        <w:adjustRightInd w:val="0"/>
        <w:spacing w:line="360" w:lineRule="auto"/>
        <w:rPr>
          <w:rFonts w:ascii="仿宋" w:hAnsi="仿宋" w:eastAsia="仿宋"/>
          <w:b/>
          <w:sz w:val="30"/>
          <w:szCs w:val="30"/>
        </w:rPr>
      </w:pPr>
      <w:r>
        <w:drawing>
          <wp:inline distT="0" distB="0" distL="0" distR="0">
            <wp:extent cx="5274310" cy="53225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5322570"/>
                    </a:xfrm>
                    <a:prstGeom prst="rect">
                      <a:avLst/>
                    </a:prstGeom>
                  </pic:spPr>
                </pic:pic>
              </a:graphicData>
            </a:graphic>
          </wp:inline>
        </w:drawing>
      </w:r>
    </w:p>
    <w:p>
      <w:pPr>
        <w:pStyle w:val="2"/>
        <w:spacing w:before="0" w:after="0" w:line="360" w:lineRule="auto"/>
        <w:rPr>
          <w:rFonts w:ascii="仿宋" w:hAnsi="仿宋" w:eastAsia="仿宋" w:cs="System"/>
          <w:kern w:val="0"/>
        </w:rPr>
      </w:pPr>
      <w:r>
        <w:rPr>
          <w:rFonts w:hint="eastAsia" w:ascii="仿宋" w:hAnsi="仿宋" w:eastAsia="仿宋" w:cs="System"/>
          <w:kern w:val="0"/>
        </w:rPr>
        <w:t>三、交通组织方案</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（一）总体方案</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1、琴断口桥分两期施工，每一期施工半幅道路，施工期间，主要解决引导车辆绕行问题。</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2、丁字港1~2号桥、朱湖新港桥、三角港桥施工期间，主要解决两侧企业车辆出入问题；</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（二）琴断口桥—近端分流</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三环线地面层长丰桥方向往琴台大道东方向匝道流量487pcu/h，琴断口桥施工封闭西侧半幅道路时，在不引导绕行的情况下，北向南1300pcu/h流量均需通过该匝道绕行琴台大道。</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匝道流量上升至1787pcu/h，琴台大道流量上升至2893pcu/h，匝道以及琴台大道均不满足通行需求。</w:t>
      </w:r>
    </w:p>
    <w:p>
      <w:r>
        <w:drawing>
          <wp:inline distT="0" distB="0" distL="0" distR="0">
            <wp:extent cx="5274310" cy="36252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4310" cy="362521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三环线地面层汉阳大道方向往琴台大道东方向匝道现状流量173pcu/h，琴断口桥施工封闭东侧半幅道路时，在不引导绕行的情况下，南向北2076pcu/h流量均将通过米粮山南向东右转匝道至琴台大道掉头。</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右转匝道流量增加至2249pcu/h，琴台大道流量增加至3669pcu/h，右转匝道以及琴台大道均不满足通行需求。</w:t>
      </w:r>
    </w:p>
    <w:p>
      <w:r>
        <w:drawing>
          <wp:inline distT="0" distB="0" distL="0" distR="0">
            <wp:extent cx="5274310" cy="363156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363156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5座桥施工期间，南向北过境车辆可在三角港桥南侧匝道上高架，全程通过三环线高架至长丰桥。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北向南过境车辆过长丰桥后，直接通行三环线高架至东风大道。</w:t>
      </w:r>
    </w:p>
    <w:p>
      <w:r>
        <w:drawing>
          <wp:inline distT="0" distB="0" distL="0" distR="0">
            <wp:extent cx="5274310" cy="545401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545401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（三）琴断口桥—二级分流</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三环线地面层长丰桥方向往孟家铺立交方向车辆，</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1、可提前绕行百威路、黄金口大道、永丰环路后至三环线。</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2、往汉阳大道蔡甸方向车辆绕行百威路、黄金口大道、永丰环路、董家店路。</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3、通过米粮山立交北往西匝道通行琴台大道至汉蔡收费站掉头后回到三环线。</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4、琴台大道古田桥方向往孟家铺立交方向车辆，可提前绕行琴台大道、仙女山路、汉阳大道。</w:t>
      </w:r>
    </w:p>
    <w:p>
      <w:pPr>
        <w:autoSpaceDE w:val="0"/>
        <w:autoSpaceDN w:val="0"/>
        <w:adjustRightInd w:val="0"/>
        <w:spacing w:line="360" w:lineRule="auto"/>
        <w:rPr>
          <w:rFonts w:ascii="仿宋" w:hAnsi="仿宋" w:eastAsia="仿宋"/>
          <w:b/>
          <w:sz w:val="30"/>
          <w:szCs w:val="30"/>
        </w:rPr>
      </w:pPr>
      <w:r>
        <w:drawing>
          <wp:inline distT="0" distB="0" distL="0" distR="0">
            <wp:extent cx="5274310" cy="45840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458406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施工封闭东侧半幅道路时：</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1、汉阳大道蔡甸方向往三环线长丰桥方向车辆，可提前绕行董家店路、琴台大道。</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2、汉阳大道汉阳方向以及墨水湖北路方向车辆可提前绕行仙女山路、琴台大道。</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3、三环线地面层经开方向车辆可提前绕行汉阳大道、仙女山路、琴台大道。</w:t>
      </w:r>
    </w:p>
    <w:p>
      <w:pPr>
        <w:autoSpaceDE w:val="0"/>
        <w:autoSpaceDN w:val="0"/>
        <w:adjustRightInd w:val="0"/>
        <w:spacing w:line="360" w:lineRule="auto"/>
        <w:ind w:firstLine="420" w:firstLineChars="200"/>
        <w:rPr>
          <w:rFonts w:ascii="仿宋" w:hAnsi="仿宋" w:eastAsia="仿宋"/>
          <w:b/>
          <w:sz w:val="30"/>
          <w:szCs w:val="30"/>
        </w:rPr>
      </w:pPr>
      <w:r>
        <w:drawing>
          <wp:inline distT="0" distB="0" distL="0" distR="0">
            <wp:extent cx="5274310" cy="44361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443611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（四）南侧四座桥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施工南侧四座桥时，过境车辆均能通过南北两侧匝道经三环线高架进行绕行。</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主要解决经地面层往两侧企业及村落到发性交通需求。</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1、施工西侧半幅桥梁</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西侧半幅道路施工时，为了保证沿线单位及村落车辆正常进出，计划将南侧四座桥分两次进行施工。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第一期施工丁字港1~2号桥；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第二期施工朱湖新港桥、三角港桥。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每一期工期1.5个月，两期共3个月。</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武汉新中环出入口位于上三环匝道北侧，车辆可直接由三环线地面层进入，驶离车辆进入三环线地面层后，经上高架匝道上三环线高架层通行。</w:t>
      </w:r>
    </w:p>
    <w:p>
      <w:r>
        <w:drawing>
          <wp:inline distT="0" distB="0" distL="0" distR="0">
            <wp:extent cx="5274310" cy="433895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433895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施工丁字港1~2号桥时，提前用水马压缩车道，压缩至匝道口处封闭三环线地面层主线，引导社会车辆全部通过匝道绕行高架层。</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弘基建筑材料出入口位于上三环线高架匝道口南侧，需在封闭点安排专人值守，该单位车辆进入时，临时打开水马开口，保证车辆进入。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驶出车辆通过西侧地面层道路向北行驶至匝道口掉头上高架。</w:t>
      </w:r>
    </w:p>
    <w:p>
      <w:r>
        <w:drawing>
          <wp:inline distT="0" distB="0" distL="0" distR="0">
            <wp:extent cx="4610100" cy="7315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4610100" cy="731520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需进入陈家咀、中国石化、中国石油、泵站车辆，在武汉新中环处上匝道，经三环线高架通行后，在三角港桥南侧下匝道后，在龙阳大道路口掉头，经三环线地面层向北通行后，在信号灯路口处进入。</w:t>
      </w:r>
    </w:p>
    <w:p>
      <w:r>
        <w:drawing>
          <wp:inline distT="0" distB="0" distL="0" distR="0">
            <wp:extent cx="5274310" cy="60077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4310" cy="600773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施工朱湖新港桥、三角港桥时，可调整中国石化进出方式与弘基建筑材料一致，其他单位保留第一期进出方式。</w:t>
      </w:r>
    </w:p>
    <w:p>
      <w:r>
        <w:drawing>
          <wp:inline distT="0" distB="0" distL="0" distR="0">
            <wp:extent cx="5274310" cy="600646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274310" cy="600646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泵站出入口位于下匝道口北侧，需进入泵站车辆，在武汉新中环处上匝道，在三角港桥南侧下匝道后，直接掉头，经三环线地面层西侧辅道向北行驶一段距离后，进入泵站。</w:t>
      </w:r>
    </w:p>
    <w:p>
      <w:r>
        <w:drawing>
          <wp:inline distT="0" distB="0" distL="0" distR="0">
            <wp:extent cx="5274310" cy="27012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70129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ascii="仿宋" w:hAnsi="仿宋" w:eastAsia="仿宋"/>
          <w:b/>
          <w:sz w:val="30"/>
          <w:szCs w:val="30"/>
        </w:rPr>
        <w:t>2</w:t>
      </w:r>
      <w:r>
        <w:rPr>
          <w:rFonts w:hint="eastAsia" w:ascii="仿宋" w:hAnsi="仿宋" w:eastAsia="仿宋"/>
          <w:b/>
          <w:sz w:val="30"/>
          <w:szCs w:val="30"/>
        </w:rPr>
        <w:t>、施工东侧半幅桥梁</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施工东侧半幅桥梁时，西侧企业及村落正常通过三环线地面层进出。</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由于汤山集团位于丁字港2号桥与朱湖新港桥之间，且两座桥之间无绿化带开口，因此，朱湖新港桥需与其他桥梁错开施工。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第三期施工丁字港1~2号桥、三角港桥；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第四期施工朱湖新港桥。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每一期工期1.5个月，两期共3个月。</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施工丁字港1~2号桥、三角港桥时：</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进入汤山集团车辆，通过三环线地面层西侧辅道通行，在现有绿化带开口处掉头进入。</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驶离汤山集团车辆需在东侧辅道逆行一段距离后，通过绿化带开口进入西侧辅道。</w:t>
      </w:r>
    </w:p>
    <w:p>
      <w:pPr>
        <w:autoSpaceDE w:val="0"/>
        <w:autoSpaceDN w:val="0"/>
        <w:adjustRightInd w:val="0"/>
        <w:spacing w:line="360" w:lineRule="auto"/>
        <w:ind w:firstLine="420" w:firstLineChars="200"/>
        <w:rPr>
          <w:rFonts w:ascii="仿宋" w:hAnsi="仿宋" w:eastAsia="仿宋"/>
          <w:b/>
          <w:sz w:val="30"/>
          <w:szCs w:val="30"/>
        </w:rPr>
      </w:pPr>
      <w:r>
        <w:drawing>
          <wp:inline distT="0" distB="0" distL="0" distR="0">
            <wp:extent cx="5274310" cy="603313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4310" cy="603313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施工朱湖新港桥时：</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进入汤山集团车辆，在三角港桥南侧上匝道，经三环线高架通行后，在丁字港1号桥北侧下匝道，掉头进入东侧辅道向南行驶一段距离进入单位。</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驶离车辆通过东侧辅道向北通行。</w:t>
      </w:r>
    </w:p>
    <w:p>
      <w:pPr>
        <w:autoSpaceDE w:val="0"/>
        <w:autoSpaceDN w:val="0"/>
        <w:adjustRightInd w:val="0"/>
        <w:spacing w:line="360" w:lineRule="auto"/>
        <w:ind w:firstLine="420" w:firstLineChars="200"/>
        <w:rPr>
          <w:rFonts w:ascii="仿宋" w:hAnsi="仿宋" w:eastAsia="仿宋"/>
          <w:b/>
          <w:sz w:val="30"/>
          <w:szCs w:val="30"/>
        </w:rPr>
      </w:pPr>
      <w:r>
        <w:drawing>
          <wp:inline distT="0" distB="0" distL="0" distR="0">
            <wp:extent cx="5274310" cy="6050280"/>
            <wp:effectExtent l="0" t="0" r="254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74310" cy="605028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3、微观交通组织方案</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①琴断口桥西侧半幅桥梁施工时，提前在三环线左转往琴台大道（汉阳方向）匝道口前用水马进行封闭，并利用水马逐级压缩车道，引导车辆通过匝道驶离三环线地面层。</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②设置警告区、上游缓冲区、上游过渡区、工作区、下游过渡区、终止区。</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③警告区长度40米，过渡区长度40米，缓冲区长度40米。</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④施工期间限速40km/h，并完善相应施工警告标志、闪光箭头版、爆闪灯、线形诱导标等交安设施。</w:t>
      </w:r>
    </w:p>
    <w:p>
      <w:pPr>
        <w:autoSpaceDE w:val="0"/>
        <w:autoSpaceDN w:val="0"/>
        <w:adjustRightInd w:val="0"/>
        <w:spacing w:line="360" w:lineRule="auto"/>
        <w:ind w:firstLine="420" w:firstLineChars="200"/>
        <w:rPr>
          <w:rFonts w:ascii="仿宋" w:hAnsi="仿宋" w:eastAsia="仿宋"/>
          <w:b/>
          <w:sz w:val="30"/>
          <w:szCs w:val="30"/>
        </w:rPr>
      </w:pPr>
      <w:r>
        <w:drawing>
          <wp:inline distT="0" distB="0" distL="0" distR="0">
            <wp:extent cx="5274310" cy="52203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274310" cy="522033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⑤琴断口桥东侧半幅桥梁施工时，提前在三环线右转往琴台大道（汉阳方向）匝道口前用水马进行封闭，并利用水马逐级压缩车道，引导车辆通过匝道驶离三环线地面层。</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⑥设置警告区、上游缓冲区、上游过渡区、工作区、下游过渡区、终止区。</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⑦警告区长度40米，过渡区长度40米，缓冲区长度40米。</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⑧施工期间限速40km/h，并完善相应施工警告标志、闪光箭头版、爆闪灯、线形诱导标等交安设施。</w:t>
      </w:r>
    </w:p>
    <w:p>
      <w:pPr>
        <w:autoSpaceDE w:val="0"/>
        <w:autoSpaceDN w:val="0"/>
        <w:adjustRightInd w:val="0"/>
        <w:spacing w:line="360" w:lineRule="auto"/>
        <w:ind w:firstLine="420" w:firstLineChars="200"/>
        <w:rPr>
          <w:rFonts w:ascii="仿宋" w:hAnsi="仿宋" w:eastAsia="仿宋"/>
          <w:b/>
          <w:sz w:val="30"/>
          <w:szCs w:val="30"/>
        </w:rPr>
      </w:pPr>
      <w:r>
        <w:drawing>
          <wp:inline distT="0" distB="0" distL="0" distR="0">
            <wp:extent cx="5274310" cy="645668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74310" cy="645668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⑨南侧四座桥施工西侧半幅道路时，在丁字港1号桥以北上三环线高架层匝道口处用水马进行封闭，并利用水马逐级压缩车道，引导车辆通过匝道通行三环线高架层。</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⑩西侧辅道中间增设一排水马，将进出弘基建筑材料车辆隔离。</w:t>
      </w:r>
    </w:p>
    <w:p>
      <w:pPr>
        <w:autoSpaceDE w:val="0"/>
        <w:autoSpaceDN w:val="0"/>
        <w:adjustRightInd w:val="0"/>
        <w:spacing w:line="360" w:lineRule="auto"/>
        <w:ind w:firstLine="602" w:firstLineChars="200"/>
        <w:rPr>
          <w:rFonts w:ascii="仿宋" w:hAnsi="仿宋" w:eastAsia="仿宋"/>
          <w:b/>
          <w:sz w:val="30"/>
          <w:szCs w:val="30"/>
        </w:rPr>
      </w:pPr>
      <w:r>
        <w:rPr>
          <w:rFonts w:ascii="Cambria Math" w:hAnsi="Cambria Math" w:eastAsia="仿宋" w:cs="Cambria Math"/>
          <w:b/>
          <w:sz w:val="30"/>
          <w:szCs w:val="30"/>
        </w:rPr>
        <w:t>⑪</w:t>
      </w:r>
      <w:r>
        <w:rPr>
          <w:rFonts w:hint="eastAsia" w:ascii="仿宋" w:hAnsi="仿宋" w:eastAsia="仿宋"/>
          <w:b/>
          <w:sz w:val="30"/>
          <w:szCs w:val="30"/>
        </w:rPr>
        <w:t>设置警告区、上游缓冲区、上游过渡区、工作区、下游过渡区、终止区。</w:t>
      </w:r>
    </w:p>
    <w:p>
      <w:pPr>
        <w:autoSpaceDE w:val="0"/>
        <w:autoSpaceDN w:val="0"/>
        <w:adjustRightInd w:val="0"/>
        <w:spacing w:line="360" w:lineRule="auto"/>
        <w:ind w:firstLine="602" w:firstLineChars="200"/>
        <w:rPr>
          <w:rFonts w:ascii="仿宋" w:hAnsi="仿宋" w:eastAsia="仿宋"/>
          <w:b/>
          <w:sz w:val="30"/>
          <w:szCs w:val="30"/>
        </w:rPr>
      </w:pPr>
      <w:r>
        <w:rPr>
          <w:rFonts w:ascii="Cambria Math" w:hAnsi="Cambria Math" w:eastAsia="仿宋" w:cs="Cambria Math"/>
          <w:b/>
          <w:sz w:val="30"/>
          <w:szCs w:val="30"/>
        </w:rPr>
        <w:t>⑫</w:t>
      </w:r>
      <w:r>
        <w:rPr>
          <w:rFonts w:hint="eastAsia" w:ascii="仿宋" w:hAnsi="仿宋" w:eastAsia="仿宋"/>
          <w:b/>
          <w:sz w:val="30"/>
          <w:szCs w:val="30"/>
        </w:rPr>
        <w:t>警告区长度40米，过渡区长度40米，缓冲区长度40米。</w:t>
      </w:r>
    </w:p>
    <w:p>
      <w:pPr>
        <w:autoSpaceDE w:val="0"/>
        <w:autoSpaceDN w:val="0"/>
        <w:adjustRightInd w:val="0"/>
        <w:spacing w:line="360" w:lineRule="auto"/>
        <w:ind w:firstLine="602" w:firstLineChars="200"/>
        <w:rPr>
          <w:rFonts w:ascii="仿宋" w:hAnsi="仿宋" w:eastAsia="仿宋"/>
          <w:b/>
          <w:sz w:val="30"/>
          <w:szCs w:val="30"/>
        </w:rPr>
      </w:pPr>
      <w:r>
        <w:rPr>
          <w:rFonts w:ascii="Cambria Math" w:hAnsi="Cambria Math" w:eastAsia="仿宋" w:cs="Cambria Math"/>
          <w:b/>
          <w:sz w:val="30"/>
          <w:szCs w:val="30"/>
        </w:rPr>
        <w:t>⑬</w:t>
      </w:r>
      <w:r>
        <w:rPr>
          <w:rFonts w:hint="eastAsia" w:ascii="仿宋" w:hAnsi="仿宋" w:eastAsia="仿宋"/>
          <w:b/>
          <w:sz w:val="30"/>
          <w:szCs w:val="30"/>
        </w:rPr>
        <w:t>施工期间限速40km/h，并完善相应施工警告标志、闪光箭头版、爆闪灯、线形诱导标等交安设施。</w:t>
      </w:r>
    </w:p>
    <w:p>
      <w:pPr>
        <w:autoSpaceDE w:val="0"/>
        <w:autoSpaceDN w:val="0"/>
        <w:adjustRightInd w:val="0"/>
        <w:spacing w:line="360" w:lineRule="auto"/>
        <w:ind w:firstLine="420" w:firstLineChars="200"/>
        <w:rPr>
          <w:rFonts w:ascii="仿宋" w:hAnsi="仿宋" w:eastAsia="仿宋"/>
          <w:b/>
          <w:sz w:val="30"/>
          <w:szCs w:val="30"/>
        </w:rPr>
      </w:pPr>
      <w:r>
        <w:drawing>
          <wp:inline distT="0" distB="0" distL="0" distR="0">
            <wp:extent cx="4057650" cy="72866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4057650" cy="7286625"/>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ascii="Cambria Math" w:hAnsi="Cambria Math" w:eastAsia="仿宋" w:cs="Cambria Math"/>
          <w:b/>
          <w:sz w:val="30"/>
          <w:szCs w:val="30"/>
        </w:rPr>
        <w:t>⑭</w:t>
      </w:r>
      <w:r>
        <w:rPr>
          <w:rFonts w:hint="eastAsia" w:ascii="仿宋" w:hAnsi="仿宋" w:eastAsia="仿宋"/>
          <w:b/>
          <w:sz w:val="30"/>
          <w:szCs w:val="30"/>
        </w:rPr>
        <w:t>南侧四座桥施工东侧半幅道路时，在三角港桥以南上三环线高架层匝道口处用水马进行封闭，并利用水马逐级压缩车道，引导车辆通过匝道通行三环线高架层。</w:t>
      </w:r>
    </w:p>
    <w:p>
      <w:pPr>
        <w:autoSpaceDE w:val="0"/>
        <w:autoSpaceDN w:val="0"/>
        <w:adjustRightInd w:val="0"/>
        <w:spacing w:line="360" w:lineRule="auto"/>
        <w:ind w:firstLine="602" w:firstLineChars="200"/>
        <w:rPr>
          <w:rFonts w:ascii="仿宋" w:hAnsi="仿宋" w:eastAsia="仿宋"/>
          <w:b/>
          <w:sz w:val="30"/>
          <w:szCs w:val="30"/>
        </w:rPr>
      </w:pPr>
      <w:r>
        <w:rPr>
          <w:rFonts w:ascii="Cambria Math" w:hAnsi="Cambria Math" w:eastAsia="仿宋" w:cs="Cambria Math"/>
          <w:b/>
          <w:sz w:val="30"/>
          <w:szCs w:val="30"/>
        </w:rPr>
        <w:t>⑮</w:t>
      </w:r>
      <w:r>
        <w:rPr>
          <w:rFonts w:hint="eastAsia" w:ascii="仿宋" w:hAnsi="仿宋" w:eastAsia="仿宋"/>
          <w:b/>
          <w:sz w:val="30"/>
          <w:szCs w:val="30"/>
        </w:rPr>
        <w:t>设置警告区、上游缓冲区、上游过渡区、工作区、下游过渡区、终止区。</w:t>
      </w:r>
    </w:p>
    <w:p>
      <w:pPr>
        <w:autoSpaceDE w:val="0"/>
        <w:autoSpaceDN w:val="0"/>
        <w:adjustRightInd w:val="0"/>
        <w:spacing w:line="360" w:lineRule="auto"/>
        <w:ind w:firstLine="602" w:firstLineChars="200"/>
        <w:rPr>
          <w:rFonts w:ascii="仿宋" w:hAnsi="仿宋" w:eastAsia="仿宋"/>
          <w:b/>
          <w:sz w:val="30"/>
          <w:szCs w:val="30"/>
        </w:rPr>
      </w:pPr>
      <w:r>
        <w:rPr>
          <w:rFonts w:ascii="Cambria Math" w:hAnsi="Cambria Math" w:eastAsia="仿宋" w:cs="Cambria Math"/>
          <w:b/>
          <w:sz w:val="30"/>
          <w:szCs w:val="30"/>
        </w:rPr>
        <w:t>⑯</w:t>
      </w:r>
      <w:r>
        <w:rPr>
          <w:rFonts w:hint="eastAsia" w:ascii="仿宋" w:hAnsi="仿宋" w:eastAsia="仿宋"/>
          <w:b/>
          <w:sz w:val="30"/>
          <w:szCs w:val="30"/>
        </w:rPr>
        <w:t>警告区长度40米，过渡区长度40米，缓冲区长度40米。</w:t>
      </w:r>
    </w:p>
    <w:p>
      <w:pPr>
        <w:autoSpaceDE w:val="0"/>
        <w:autoSpaceDN w:val="0"/>
        <w:adjustRightInd w:val="0"/>
        <w:spacing w:line="360" w:lineRule="auto"/>
        <w:ind w:firstLine="602" w:firstLineChars="200"/>
        <w:rPr>
          <w:rFonts w:ascii="仿宋" w:hAnsi="仿宋" w:eastAsia="仿宋"/>
          <w:b/>
          <w:sz w:val="30"/>
          <w:szCs w:val="30"/>
        </w:rPr>
      </w:pPr>
      <w:r>
        <w:rPr>
          <w:rFonts w:ascii="Cambria Math" w:hAnsi="Cambria Math" w:eastAsia="仿宋" w:cs="Cambria Math"/>
          <w:b/>
          <w:sz w:val="30"/>
          <w:szCs w:val="30"/>
        </w:rPr>
        <w:t>⑰</w:t>
      </w:r>
      <w:r>
        <w:rPr>
          <w:rFonts w:hint="eastAsia" w:ascii="仿宋" w:hAnsi="仿宋" w:eastAsia="仿宋"/>
          <w:b/>
          <w:sz w:val="30"/>
          <w:szCs w:val="30"/>
        </w:rPr>
        <w:t>施工期间限速40km/h，并完善相应施工警告标志、闪光箭头版、爆闪灯、线形诱导标等交安设施。</w:t>
      </w:r>
    </w:p>
    <w:p>
      <w:pPr>
        <w:autoSpaceDE w:val="0"/>
        <w:autoSpaceDN w:val="0"/>
        <w:adjustRightInd w:val="0"/>
        <w:spacing w:line="360" w:lineRule="auto"/>
        <w:ind w:firstLine="420" w:firstLineChars="200"/>
        <w:rPr>
          <w:rFonts w:ascii="仿宋" w:hAnsi="仿宋" w:eastAsia="仿宋"/>
          <w:b/>
          <w:sz w:val="30"/>
          <w:szCs w:val="30"/>
        </w:rPr>
      </w:pPr>
      <w:r>
        <w:drawing>
          <wp:inline distT="0" distB="0" distL="0" distR="0">
            <wp:extent cx="5274310" cy="462788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462788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ascii="Cambria Math" w:hAnsi="Cambria Math" w:eastAsia="仿宋" w:cs="Cambria Math"/>
          <w:b/>
          <w:sz w:val="30"/>
          <w:szCs w:val="30"/>
        </w:rPr>
        <w:t>⑱</w:t>
      </w:r>
      <w:r>
        <w:rPr>
          <w:rFonts w:hint="eastAsia" w:ascii="仿宋" w:hAnsi="仿宋" w:eastAsia="仿宋"/>
          <w:b/>
          <w:sz w:val="30"/>
          <w:szCs w:val="30"/>
        </w:rPr>
        <w:t>施工朱湖新港桥时，进出汤山集团车辆需通过东侧辅道双向通行，需在路中增设一排水马进行隔离。</w:t>
      </w:r>
    </w:p>
    <w:p>
      <w:pPr>
        <w:autoSpaceDE w:val="0"/>
        <w:autoSpaceDN w:val="0"/>
        <w:adjustRightInd w:val="0"/>
        <w:spacing w:line="360" w:lineRule="auto"/>
        <w:ind w:firstLine="420" w:firstLineChars="200"/>
        <w:rPr>
          <w:rFonts w:ascii="仿宋" w:hAnsi="仿宋" w:eastAsia="仿宋"/>
          <w:b/>
          <w:sz w:val="30"/>
          <w:szCs w:val="30"/>
        </w:rPr>
      </w:pPr>
      <w:r>
        <w:drawing>
          <wp:inline distT="0" distB="0" distL="0" distR="0">
            <wp:extent cx="4876800" cy="72771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4876800" cy="7277100"/>
                    </a:xfrm>
                    <a:prstGeom prst="rect">
                      <a:avLst/>
                    </a:prstGeom>
                  </pic:spPr>
                </pic:pic>
              </a:graphicData>
            </a:graphic>
          </wp:inline>
        </w:drawing>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（五）施工安全员</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为了做好各类车辆的提前分流疏导、维持几个关键节点的交通秩序，应在4个点位布置施工安全员，共需21名施工安全员：</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1、琴断口桥（2人/班）；</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2、丁字港1号桥北侧上匝道口（1人/班）；</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3、三角港桥南侧上匝道口（1人/班）</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4、朱湖新港桥南侧现有绿化带开口（1人/班）</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5、巡线警（2人/班）</w:t>
      </w:r>
    </w:p>
    <w:p>
      <w:pPr>
        <w:autoSpaceDE w:val="0"/>
        <w:autoSpaceDN w:val="0"/>
        <w:adjustRightInd w:val="0"/>
        <w:spacing w:line="360" w:lineRule="auto"/>
        <w:ind w:firstLine="602" w:firstLineChars="200"/>
        <w:rPr>
          <w:rFonts w:ascii="仿宋" w:hAnsi="仿宋" w:eastAsia="仿宋"/>
          <w:b/>
          <w:sz w:val="30"/>
          <w:szCs w:val="30"/>
        </w:rPr>
      </w:pPr>
      <w:r>
        <w:rPr>
          <w:rFonts w:hint="eastAsia" w:ascii="仿宋" w:hAnsi="仿宋" w:eastAsia="仿宋"/>
          <w:b/>
          <w:sz w:val="30"/>
          <w:szCs w:val="30"/>
        </w:rPr>
        <w:t>在三环线地面层配备一台大型拖车，发生坏车、事故等突发情况能及时进行处理。</w:t>
      </w:r>
    </w:p>
    <w:p>
      <w:pPr>
        <w:pStyle w:val="2"/>
        <w:spacing w:before="0" w:after="0" w:line="360" w:lineRule="auto"/>
        <w:rPr>
          <w:rFonts w:ascii="仿宋" w:hAnsi="仿宋" w:eastAsia="仿宋" w:cs="System"/>
          <w:kern w:val="0"/>
        </w:rPr>
      </w:pPr>
      <w:r>
        <w:rPr>
          <w:rFonts w:hint="eastAsia" w:ascii="仿宋" w:hAnsi="仿宋" w:eastAsia="仿宋" w:cs="System"/>
          <w:kern w:val="0"/>
        </w:rPr>
        <w:t>四、工程量清单</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448"/>
        <w:gridCol w:w="581"/>
        <w:gridCol w:w="2211"/>
        <w:gridCol w:w="753"/>
        <w:gridCol w:w="603"/>
        <w:gridCol w:w="733"/>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序号</w:t>
            </w:r>
          </w:p>
        </w:tc>
        <w:tc>
          <w:tcPr>
            <w:tcW w:w="263"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类型</w:t>
            </w:r>
          </w:p>
        </w:tc>
        <w:tc>
          <w:tcPr>
            <w:tcW w:w="341"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项目</w:t>
            </w: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规格（mm）</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种类</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单位</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数量</w:t>
            </w:r>
          </w:p>
        </w:tc>
        <w:tc>
          <w:tcPr>
            <w:tcW w:w="1595"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项目特征描述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263" w:type="pct"/>
            <w:vMerge w:val="restar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设施</w:t>
            </w:r>
          </w:p>
        </w:tc>
        <w:tc>
          <w:tcPr>
            <w:tcW w:w="341" w:type="pct"/>
            <w:vMerge w:val="restar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标志</w:t>
            </w: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xml:space="preserve">附着式          </w:t>
            </w:r>
            <w:r>
              <w:rPr>
                <w:rFonts w:hint="eastAsia" w:ascii="MS Mincho" w:hAnsi="MS Mincho" w:eastAsia="MS Mincho" w:cs="MS Mincho"/>
                <w:color w:val="000000"/>
                <w:kern w:val="0"/>
                <w:sz w:val="22"/>
              </w:rPr>
              <w:t>∅</w:t>
            </w:r>
            <w:r>
              <w:rPr>
                <w:rFonts w:hint="eastAsia" w:ascii="等线" w:hAnsi="等线" w:eastAsia="等线" w:cs="宋体"/>
                <w:color w:val="000000"/>
                <w:kern w:val="0"/>
                <w:sz w:val="22"/>
              </w:rPr>
              <w:t>800</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限速标志</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5</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1.类型:附着式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w:t>
            </w:r>
            <w:r>
              <w:rPr>
                <w:rFonts w:hint="eastAsia" w:ascii="MS Mincho" w:hAnsi="MS Mincho" w:eastAsia="MS Mincho" w:cs="MS Mincho"/>
                <w:kern w:val="0"/>
                <w:sz w:val="20"/>
                <w:szCs w:val="20"/>
              </w:rPr>
              <w:t>∅</w:t>
            </w:r>
            <w:r>
              <w:rPr>
                <w:rFonts w:hint="eastAsia" w:ascii="宋体" w:hAnsi="宋体" w:eastAsia="宋体" w:cs="宋体"/>
                <w:kern w:val="0"/>
                <w:sz w:val="20"/>
                <w:szCs w:val="20"/>
              </w:rPr>
              <w:t>800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3.板面反光膜等级:V类反光膜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4.工程完工后标志版拆除回收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Merge w:val="continue"/>
            <w:vAlign w:val="center"/>
          </w:tcPr>
          <w:p>
            <w:pPr>
              <w:widowControl/>
              <w:jc w:val="center"/>
              <w:rPr>
                <w:rFonts w:ascii="等线" w:hAnsi="等线" w:eastAsia="等线" w:cs="宋体"/>
                <w:color w:val="000000"/>
                <w:kern w:val="0"/>
                <w:sz w:val="22"/>
              </w:rPr>
            </w:pP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附着式          Δ900</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施工警告标志</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1.类型:附着式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 Δ900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3.板面反光膜等级:V类反光膜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4.工程完工后标志版拆除回收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Merge w:val="continue"/>
            <w:vAlign w:val="center"/>
          </w:tcPr>
          <w:p>
            <w:pPr>
              <w:widowControl/>
              <w:jc w:val="center"/>
              <w:rPr>
                <w:rFonts w:ascii="等线" w:hAnsi="等线" w:eastAsia="等线" w:cs="宋体"/>
                <w:color w:val="000000"/>
                <w:kern w:val="0"/>
                <w:sz w:val="22"/>
              </w:rPr>
            </w:pP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附着式    600*1600</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线形诱导标</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7</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1.类型:附着式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 600*1600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3.板面反光膜等级:V类反光膜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4.工程完工后标志版拆除回收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4</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Merge w:val="continue"/>
            <w:vAlign w:val="center"/>
          </w:tcPr>
          <w:p>
            <w:pPr>
              <w:widowControl/>
              <w:jc w:val="center"/>
              <w:rPr>
                <w:rFonts w:ascii="等线" w:hAnsi="等线" w:eastAsia="等线" w:cs="宋体"/>
                <w:color w:val="000000"/>
                <w:kern w:val="0"/>
                <w:sz w:val="22"/>
              </w:rPr>
            </w:pP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附着式   900*1600</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车道减少标志</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1.类型:附着式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2.材质、规格尺寸:900*1600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3.板面反光膜等级:V类反光膜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4.工程完工后标志版用完后拆除回收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5</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Merge w:val="continue"/>
            <w:vAlign w:val="center"/>
          </w:tcPr>
          <w:p>
            <w:pPr>
              <w:widowControl/>
              <w:jc w:val="center"/>
              <w:rPr>
                <w:rFonts w:ascii="等线" w:hAnsi="等线" w:eastAsia="等线" w:cs="宋体"/>
                <w:color w:val="000000"/>
                <w:kern w:val="0"/>
                <w:sz w:val="22"/>
              </w:rPr>
            </w:pP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附着式   1200*1600</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车道减少标志</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1.类型:附着式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2.材质、规格尺寸:1200*1600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3.板面反光膜等级:V类反光膜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4.工程完工后标志版用完后拆除回收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6</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Merge w:val="continue"/>
            <w:vAlign w:val="center"/>
          </w:tcPr>
          <w:p>
            <w:pPr>
              <w:widowControl/>
              <w:jc w:val="center"/>
              <w:rPr>
                <w:rFonts w:ascii="等线" w:hAnsi="等线" w:eastAsia="等线" w:cs="宋体"/>
                <w:color w:val="000000"/>
                <w:kern w:val="0"/>
                <w:sz w:val="22"/>
              </w:rPr>
            </w:pP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附着式   1200*1000</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指路标志</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4</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1.类型:附着式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2.材质、规格尺寸:1200*1000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3.板面反光膜等级:V类反光膜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4.工程完工后标志版用完后拆除回收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7</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Merge w:val="continue"/>
            <w:vAlign w:val="center"/>
          </w:tcPr>
          <w:p>
            <w:pPr>
              <w:widowControl/>
              <w:jc w:val="center"/>
              <w:rPr>
                <w:rFonts w:ascii="等线" w:hAnsi="等线" w:eastAsia="等线" w:cs="宋体"/>
                <w:color w:val="000000"/>
                <w:kern w:val="0"/>
                <w:sz w:val="22"/>
              </w:rPr>
            </w:pP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附着式   1600*1600</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车道减少标志</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1.类型:附着式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2.材质、规格尺寸:1600*1600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3.板面反光膜等级:V类反光膜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4.工程完工后标志版拆除回收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8</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Merge w:val="continue"/>
            <w:vAlign w:val="center"/>
          </w:tcPr>
          <w:p>
            <w:pPr>
              <w:widowControl/>
              <w:jc w:val="center"/>
              <w:rPr>
                <w:rFonts w:ascii="等线" w:hAnsi="等线" w:eastAsia="等线" w:cs="宋体"/>
                <w:color w:val="000000"/>
                <w:kern w:val="0"/>
                <w:sz w:val="22"/>
              </w:rPr>
            </w:pP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附着式   1600*2400</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绕行标志</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19</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1.类型:附着式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2.材质、规格尺寸:1600*2400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3.板面反光膜等级:V类反光膜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4.工程完工后标志版用完后拆除回收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9</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Merge w:val="continue"/>
            <w:vAlign w:val="center"/>
          </w:tcPr>
          <w:p>
            <w:pPr>
              <w:widowControl/>
              <w:jc w:val="center"/>
              <w:rPr>
                <w:rFonts w:ascii="等线" w:hAnsi="等线" w:eastAsia="等线" w:cs="宋体"/>
                <w:color w:val="000000"/>
                <w:kern w:val="0"/>
                <w:sz w:val="22"/>
              </w:rPr>
            </w:pP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落地式   1600*2400（Ⅳ类膜）</w:t>
            </w:r>
          </w:p>
        </w:tc>
        <w:tc>
          <w:tcPr>
            <w:tcW w:w="442"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施工警告标志</w:t>
            </w: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8</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1.类型:落地式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2.材质、规格尺寸:1600*2400  标志板面采用3mm厚硬铝合金板，抗拉强度≥290MPa，屈服点≥241.2MPa，延伸率4%～10%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3.板面反光膜等级:Ⅳ类反光膜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4.支架:角钢制作L50*5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5.工程完工后标志版拆除回收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10</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太阳能爆闪灯</w:t>
            </w:r>
          </w:p>
        </w:tc>
        <w:tc>
          <w:tcPr>
            <w:tcW w:w="1297" w:type="pct"/>
            <w:vAlign w:val="center"/>
          </w:tcPr>
          <w:p>
            <w:pPr>
              <w:widowControl/>
              <w:jc w:val="center"/>
              <w:rPr>
                <w:rFonts w:ascii="等线" w:hAnsi="等线" w:eastAsia="等线" w:cs="宋体"/>
                <w:color w:val="000000"/>
                <w:kern w:val="0"/>
                <w:sz w:val="22"/>
              </w:rPr>
            </w:pPr>
            <w:bookmarkStart w:id="1" w:name="_GoBack"/>
            <w:bookmarkEnd w:id="1"/>
          </w:p>
        </w:tc>
        <w:tc>
          <w:tcPr>
            <w:tcW w:w="442" w:type="pct"/>
            <w:vAlign w:val="center"/>
          </w:tcPr>
          <w:p>
            <w:pPr>
              <w:widowControl/>
              <w:jc w:val="center"/>
              <w:rPr>
                <w:rFonts w:ascii="等线" w:hAnsi="等线" w:eastAsia="等线" w:cs="宋体"/>
                <w:color w:val="000000"/>
                <w:kern w:val="0"/>
                <w:sz w:val="22"/>
              </w:rPr>
            </w:pP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FF0000"/>
                <w:kern w:val="0"/>
                <w:sz w:val="22"/>
              </w:rPr>
            </w:pPr>
            <w:r>
              <w:rPr>
                <w:rFonts w:hint="eastAsia" w:ascii="等线" w:hAnsi="等线" w:eastAsia="等线" w:cs="宋体"/>
                <w:color w:val="auto"/>
                <w:kern w:val="0"/>
                <w:sz w:val="22"/>
              </w:rPr>
              <w:t>10</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1.类型:太阳能爆闪灯</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2.信号灯规格、型号、组数:太阳能双面双色爆闪灯，工作电压12V，单灯发光面积 187.5cm2 ，单灯亮度 10000-12000mcd，可视距离 &gt;1200m，连续阴雨天工作时间&gt;240h，</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3.工程完工后爆闪灯拆除回收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11</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闪光箭头板</w:t>
            </w: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诱导牌1200*400*55mm、支架高1200mm</w:t>
            </w:r>
          </w:p>
        </w:tc>
        <w:tc>
          <w:tcPr>
            <w:tcW w:w="442" w:type="pct"/>
            <w:vAlign w:val="center"/>
          </w:tcPr>
          <w:p>
            <w:pPr>
              <w:widowControl/>
              <w:jc w:val="center"/>
              <w:rPr>
                <w:rFonts w:ascii="等线" w:hAnsi="等线" w:eastAsia="等线" w:cs="宋体"/>
                <w:color w:val="000000"/>
                <w:kern w:val="0"/>
                <w:sz w:val="22"/>
              </w:rPr>
            </w:pP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8</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1.类型:闪光箭头板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2.规格:诱导牌1200*400*55mm、支架高1200mm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信号灯规格、型号、组数:尺寸：150*50cm，支撑架高100cm；供电方式：采用低压控制，使用免维护蓄电池及多晶硅太阳能板；工作模式：分别显示左边闪、右边闪、两边闪、关闭四种模式；发光部分：产用LED像素筒发光，LED像素筒由100型像素筒组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4.工程完工后爆闪灯拆除回收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Align w:val="center"/>
          </w:tcPr>
          <w:p>
            <w:pPr>
              <w:widowControl/>
              <w:jc w:val="center"/>
              <w:rPr>
                <w:rFonts w:ascii="等线" w:hAnsi="等线" w:eastAsia="等线" w:cs="宋体"/>
                <w:kern w:val="0"/>
                <w:sz w:val="22"/>
              </w:rPr>
            </w:pPr>
            <w:r>
              <w:rPr>
                <w:rFonts w:hint="eastAsia" w:ascii="等线" w:hAnsi="等线" w:eastAsia="等线" w:cs="宋体"/>
                <w:kern w:val="0"/>
                <w:sz w:val="22"/>
              </w:rPr>
              <w:t>水马</w:t>
            </w:r>
          </w:p>
        </w:tc>
        <w:tc>
          <w:tcPr>
            <w:tcW w:w="1297" w:type="pct"/>
            <w:vAlign w:val="center"/>
          </w:tcPr>
          <w:p>
            <w:pPr>
              <w:widowControl/>
              <w:jc w:val="center"/>
              <w:rPr>
                <w:rFonts w:ascii="等线" w:hAnsi="等线" w:eastAsia="等线" w:cs="宋体"/>
                <w:kern w:val="0"/>
                <w:sz w:val="22"/>
              </w:rPr>
            </w:pPr>
            <w:r>
              <w:rPr>
                <w:rFonts w:hint="eastAsia" w:ascii="等线" w:hAnsi="等线" w:eastAsia="等线" w:cs="宋体"/>
                <w:kern w:val="0"/>
                <w:sz w:val="22"/>
              </w:rPr>
              <w:t>H800,1.5米一个</w:t>
            </w:r>
          </w:p>
        </w:tc>
        <w:tc>
          <w:tcPr>
            <w:tcW w:w="442" w:type="pct"/>
            <w:vAlign w:val="center"/>
          </w:tcPr>
          <w:p>
            <w:pPr>
              <w:widowControl/>
              <w:jc w:val="center"/>
              <w:rPr>
                <w:rFonts w:ascii="等线" w:hAnsi="等线" w:eastAsia="等线" w:cs="宋体"/>
                <w:kern w:val="0"/>
                <w:sz w:val="22"/>
              </w:rPr>
            </w:pPr>
          </w:p>
        </w:tc>
        <w:tc>
          <w:tcPr>
            <w:tcW w:w="354" w:type="pct"/>
            <w:vAlign w:val="center"/>
          </w:tcPr>
          <w:p>
            <w:pPr>
              <w:widowControl/>
              <w:jc w:val="center"/>
              <w:rPr>
                <w:rFonts w:ascii="等线" w:hAnsi="等线" w:eastAsia="等线" w:cs="宋体"/>
                <w:kern w:val="0"/>
                <w:sz w:val="22"/>
              </w:rPr>
            </w:pPr>
            <w:r>
              <w:rPr>
                <w:rFonts w:hint="eastAsia" w:ascii="等线" w:hAnsi="等线" w:eastAsia="等线" w:cs="宋体"/>
                <w:kern w:val="0"/>
                <w:sz w:val="22"/>
              </w:rPr>
              <w:t>个</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1343</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1.材料品种:滚塑三孔水马，800*1500mm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2.规格、型号:进口线性低密度聚乙烯(LLDPE)；水马高整体为红色或黄色，色泽鲜丽、不易老化，保证三年内不褪色；桶体表面需粘 贴条状反光膜，反光膜达到 GB-T18833-2012规定的Ⅳ类反光膜标准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3.工程完工后水马拆除回收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13</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清除标线</w:t>
            </w: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热熔</w:t>
            </w:r>
          </w:p>
        </w:tc>
        <w:tc>
          <w:tcPr>
            <w:tcW w:w="442" w:type="pct"/>
            <w:vAlign w:val="center"/>
          </w:tcPr>
          <w:p>
            <w:pPr>
              <w:widowControl/>
              <w:jc w:val="center"/>
              <w:rPr>
                <w:rFonts w:ascii="等线" w:hAnsi="等线" w:eastAsia="等线" w:cs="宋体"/>
                <w:color w:val="000000"/>
                <w:kern w:val="0"/>
                <w:sz w:val="22"/>
              </w:rPr>
            </w:pP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平方米</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100</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1.清除方法:化学清除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14</w:t>
            </w:r>
          </w:p>
        </w:tc>
        <w:tc>
          <w:tcPr>
            <w:tcW w:w="263" w:type="pct"/>
            <w:vMerge w:val="continue"/>
            <w:vAlign w:val="center"/>
          </w:tcPr>
          <w:p>
            <w:pPr>
              <w:widowControl/>
              <w:jc w:val="center"/>
              <w:rPr>
                <w:rFonts w:ascii="等线" w:hAnsi="等线" w:eastAsia="等线" w:cs="宋体"/>
                <w:color w:val="000000"/>
                <w:kern w:val="0"/>
                <w:sz w:val="22"/>
              </w:rPr>
            </w:pPr>
          </w:p>
        </w:tc>
        <w:tc>
          <w:tcPr>
            <w:tcW w:w="341"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施划标线</w:t>
            </w: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热熔</w:t>
            </w:r>
          </w:p>
        </w:tc>
        <w:tc>
          <w:tcPr>
            <w:tcW w:w="442" w:type="pct"/>
            <w:vAlign w:val="center"/>
          </w:tcPr>
          <w:p>
            <w:pPr>
              <w:widowControl/>
              <w:jc w:val="center"/>
              <w:rPr>
                <w:rFonts w:ascii="等线" w:hAnsi="等线" w:eastAsia="等线" w:cs="宋体"/>
                <w:color w:val="000000"/>
                <w:kern w:val="0"/>
                <w:sz w:val="22"/>
              </w:rPr>
            </w:pP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平方米</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100</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1.材料品种:热熔标线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15</w:t>
            </w:r>
          </w:p>
        </w:tc>
        <w:tc>
          <w:tcPr>
            <w:tcW w:w="263"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施工安全员</w:t>
            </w:r>
          </w:p>
        </w:tc>
        <w:tc>
          <w:tcPr>
            <w:tcW w:w="341"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施工安全员</w:t>
            </w: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21个人，工作6个月</w:t>
            </w:r>
          </w:p>
        </w:tc>
        <w:tc>
          <w:tcPr>
            <w:tcW w:w="442" w:type="pct"/>
            <w:vAlign w:val="center"/>
          </w:tcPr>
          <w:p>
            <w:pPr>
              <w:widowControl/>
              <w:jc w:val="center"/>
              <w:rPr>
                <w:rFonts w:ascii="等线" w:hAnsi="等线" w:eastAsia="等线" w:cs="宋体"/>
                <w:color w:val="000000"/>
                <w:kern w:val="0"/>
                <w:sz w:val="22"/>
              </w:rPr>
            </w:pP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人*月</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126</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具有较高的政治觉悟，遵纪守法，品行端正，爱岗敬业。2、身体健康，具有履行职责的条件，体貌端正，语言表达能力较强，具有吃苦精神。3、年龄20周岁至50周岁，高中以上学历，身高1.65米以上。4、双侧单眼裸视力均在4.6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16</w:t>
            </w:r>
          </w:p>
        </w:tc>
        <w:tc>
          <w:tcPr>
            <w:tcW w:w="263"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牵引车</w:t>
            </w:r>
          </w:p>
        </w:tc>
        <w:tc>
          <w:tcPr>
            <w:tcW w:w="341"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牵引车</w:t>
            </w: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大型</w:t>
            </w:r>
          </w:p>
        </w:tc>
        <w:tc>
          <w:tcPr>
            <w:tcW w:w="442" w:type="pct"/>
            <w:vAlign w:val="center"/>
          </w:tcPr>
          <w:p>
            <w:pPr>
              <w:widowControl/>
              <w:jc w:val="center"/>
              <w:rPr>
                <w:rFonts w:ascii="等线" w:hAnsi="等线" w:eastAsia="等线" w:cs="宋体"/>
                <w:color w:val="000000"/>
                <w:kern w:val="0"/>
                <w:sz w:val="22"/>
              </w:rPr>
            </w:pP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台*天</w:t>
            </w:r>
          </w:p>
        </w:tc>
        <w:tc>
          <w:tcPr>
            <w:tcW w:w="430"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180</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1.要求:能拖动故障中型及以上货车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79"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17</w:t>
            </w:r>
          </w:p>
        </w:tc>
        <w:tc>
          <w:tcPr>
            <w:tcW w:w="263" w:type="pct"/>
            <w:vAlign w:val="center"/>
          </w:tcPr>
          <w:p>
            <w:pPr>
              <w:widowControl/>
              <w:jc w:val="center"/>
              <w:rPr>
                <w:rFonts w:ascii="等线" w:hAnsi="等线" w:eastAsia="等线" w:cs="宋体"/>
                <w:color w:val="000000"/>
                <w:kern w:val="0"/>
                <w:sz w:val="22"/>
              </w:rPr>
            </w:pPr>
          </w:p>
        </w:tc>
        <w:tc>
          <w:tcPr>
            <w:tcW w:w="341"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围挡水马</w:t>
            </w:r>
          </w:p>
        </w:tc>
        <w:tc>
          <w:tcPr>
            <w:tcW w:w="1297"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H1800,1米一个</w:t>
            </w:r>
          </w:p>
        </w:tc>
        <w:tc>
          <w:tcPr>
            <w:tcW w:w="442" w:type="pct"/>
            <w:vAlign w:val="center"/>
          </w:tcPr>
          <w:p>
            <w:pPr>
              <w:widowControl/>
              <w:jc w:val="center"/>
              <w:rPr>
                <w:rFonts w:ascii="等线" w:hAnsi="等线" w:eastAsia="等线" w:cs="宋体"/>
                <w:color w:val="000000"/>
                <w:kern w:val="0"/>
                <w:sz w:val="22"/>
              </w:rPr>
            </w:pPr>
          </w:p>
        </w:tc>
        <w:tc>
          <w:tcPr>
            <w:tcW w:w="354" w:type="pct"/>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个</w:t>
            </w:r>
          </w:p>
        </w:tc>
        <w:tc>
          <w:tcPr>
            <w:tcW w:w="430" w:type="pct"/>
            <w:vAlign w:val="center"/>
          </w:tcPr>
          <w:p>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315</w:t>
            </w:r>
          </w:p>
        </w:tc>
        <w:tc>
          <w:tcPr>
            <w:tcW w:w="1595" w:type="pct"/>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1.材料品种:面板为PVC板或0.3mm厚彩钢板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2.规格、型号:①墙面色号6.3PB3.5/7.6-1226;</w:t>
            </w:r>
            <w:r>
              <w:rPr>
                <w:rFonts w:hint="eastAsia" w:ascii="宋体" w:hAnsi="宋体" w:eastAsia="宋体" w:cs="宋体"/>
                <w:kern w:val="0"/>
                <w:sz w:val="20"/>
                <w:szCs w:val="20"/>
              </w:rPr>
              <w:br w:type="textWrapping"/>
            </w:r>
            <w:r>
              <w:rPr>
                <w:rFonts w:hint="eastAsia" w:ascii="宋体" w:hAnsi="宋体" w:eastAsia="宋体" w:cs="宋体"/>
                <w:kern w:val="0"/>
                <w:sz w:val="20"/>
                <w:szCs w:val="20"/>
              </w:rPr>
              <w:t>②柱身色号3.8P9/1-1286;</w:t>
            </w:r>
            <w:r>
              <w:rPr>
                <w:rFonts w:hint="eastAsia" w:ascii="宋体" w:hAnsi="宋体" w:eastAsia="宋体" w:cs="宋体"/>
                <w:kern w:val="0"/>
                <w:sz w:val="20"/>
                <w:szCs w:val="20"/>
              </w:rPr>
              <w:br w:type="textWrapping"/>
            </w:r>
            <w:r>
              <w:rPr>
                <w:rFonts w:hint="eastAsia" w:ascii="宋体" w:hAnsi="宋体" w:eastAsia="宋体" w:cs="宋体"/>
                <w:kern w:val="0"/>
                <w:sz w:val="20"/>
                <w:szCs w:val="20"/>
              </w:rPr>
              <w:t>③立柱采用螺栓与地面锚固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3.立柱、横撑规格:方管 口100*100，上下横撑 方管 口80*80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4.高度、宽度:H=2.0m,B=1m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5.工程完工后围档拆除回收</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System">
    <w:altName w:val="宋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1581C"/>
    <w:rsid w:val="0004576A"/>
    <w:rsid w:val="000F010D"/>
    <w:rsid w:val="002C33DD"/>
    <w:rsid w:val="002D7807"/>
    <w:rsid w:val="00356937"/>
    <w:rsid w:val="00542985"/>
    <w:rsid w:val="008F0F51"/>
    <w:rsid w:val="009C3AC8"/>
    <w:rsid w:val="00B103A9"/>
    <w:rsid w:val="00B1581C"/>
    <w:rsid w:val="00C334DA"/>
    <w:rsid w:val="00F12C74"/>
    <w:rsid w:val="00F7434F"/>
    <w:rsid w:val="00FA63A2"/>
    <w:rsid w:val="00FE56C3"/>
    <w:rsid w:val="05DC66DC"/>
    <w:rsid w:val="345E0FA7"/>
    <w:rsid w:val="41006B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5"/>
    <w:qFormat/>
    <w:uiPriority w:val="99"/>
    <w:rPr>
      <w:sz w:val="18"/>
      <w:szCs w:val="18"/>
    </w:rPr>
  </w:style>
  <w:style w:type="character" w:customStyle="1" w:styleId="10">
    <w:name w:val="页脚 Char"/>
    <w:basedOn w:val="8"/>
    <w:link w:val="4"/>
    <w:qFormat/>
    <w:uiPriority w:val="99"/>
    <w:rPr>
      <w:sz w:val="18"/>
      <w:szCs w:val="18"/>
    </w:rPr>
  </w:style>
  <w:style w:type="character" w:customStyle="1" w:styleId="11">
    <w:name w:val="标题 2 Char"/>
    <w:basedOn w:val="8"/>
    <w:link w:val="2"/>
    <w:qFormat/>
    <w:uiPriority w:val="9"/>
    <w:rPr>
      <w:rFonts w:asciiTheme="majorHAnsi" w:hAnsiTheme="majorHAnsi" w:eastAsiaTheme="majorEastAsia" w:cstheme="majorBidi"/>
      <w:b/>
      <w:bCs/>
      <w:sz w:val="32"/>
      <w:szCs w:val="32"/>
    </w:rPr>
  </w:style>
  <w:style w:type="paragraph" w:styleId="12">
    <w:name w:val="List Paragraph"/>
    <w:basedOn w:val="1"/>
    <w:qFormat/>
    <w:uiPriority w:val="34"/>
    <w:pPr>
      <w:widowControl/>
      <w:ind w:firstLine="420" w:firstLineChars="200"/>
      <w:jc w:val="left"/>
    </w:pPr>
    <w:rPr>
      <w:rFonts w:ascii="宋体" w:hAnsi="宋体" w:eastAsia="宋体" w:cs="宋体"/>
      <w:kern w:val="0"/>
      <w:sz w:val="24"/>
      <w:szCs w:val="24"/>
    </w:rPr>
  </w:style>
  <w:style w:type="character" w:customStyle="1" w:styleId="13">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0B7979-F028-4024-99BC-2BF8D074A9F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948</Words>
  <Characters>5406</Characters>
  <Lines>45</Lines>
  <Paragraphs>12</Paragraphs>
  <TotalTime>39</TotalTime>
  <ScaleCrop>false</ScaleCrop>
  <LinksUpToDate>false</LinksUpToDate>
  <CharactersWithSpaces>6342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2022-02-09T06:40:00Z</dcterms:created>
  <dc:creator>Administrator</dc:creator>
  <cp:lastModifiedBy>程浩</cp:lastModifiedBy>
  <cp:lastPrinted>2022-01-25T05:33:00Z</cp:lastPrinted>
  <dcterms:modified xsi:type="dcterms:W3CDTF">2022-02-23T00:42:29Z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85734F3901064841AF6FAD9A60A4D558</vt:lpwstr>
  </property>
</Properties>
</file>