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22"/>
        <w:jc w:val="center"/>
        <w:textAlignment w:val="baseline"/>
        <w:rPr>
          <w:rFonts w:cs="宋体"/>
          <w:color w:val="383838"/>
          <w:kern w:val="0"/>
          <w:szCs w:val="21"/>
        </w:rPr>
      </w:pPr>
      <w:bookmarkStart w:id="0" w:name="_Toc71711074"/>
      <w:bookmarkStart w:id="1" w:name="_Toc2469"/>
      <w:bookmarkStart w:id="2" w:name="_Toc3960"/>
      <w:bookmarkStart w:id="3" w:name="_Toc10142"/>
      <w:bookmarkStart w:id="4" w:name="_Toc18755"/>
      <w:r>
        <w:rPr>
          <w:rFonts w:cs="宋体"/>
          <w:b/>
          <w:bCs/>
          <w:color w:val="383838"/>
          <w:kern w:val="0"/>
          <w:szCs w:val="21"/>
        </w:rPr>
        <w:t>文件获取登记表</w:t>
      </w:r>
    </w:p>
    <w:tbl>
      <w:tblPr>
        <w:tblStyle w:val="4"/>
        <w:tblW w:w="0" w:type="auto"/>
        <w:jc w:val="center"/>
        <w:shd w:val="clear" w:color="auto" w:fill="FFFFFF"/>
        <w:tblLayout w:type="fixed"/>
        <w:tblCellMar>
          <w:top w:w="0" w:type="dxa"/>
          <w:left w:w="0" w:type="dxa"/>
          <w:bottom w:w="0" w:type="dxa"/>
          <w:right w:w="0" w:type="dxa"/>
        </w:tblCellMar>
      </w:tblPr>
      <w:tblGrid>
        <w:gridCol w:w="2385"/>
        <w:gridCol w:w="2220"/>
        <w:gridCol w:w="1230"/>
        <w:gridCol w:w="3225"/>
      </w:tblGrid>
      <w:tr>
        <w:tblPrEx>
          <w:shd w:val="clear" w:color="auto" w:fill="FFFFFF"/>
        </w:tblPrEx>
        <w:trPr>
          <w:trHeight w:val="425" w:hRule="atLeast"/>
          <w:jc w:val="center"/>
        </w:trPr>
        <w:tc>
          <w:tcPr>
            <w:tcW w:w="238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项目名称</w:t>
            </w:r>
          </w:p>
        </w:tc>
        <w:tc>
          <w:tcPr>
            <w:tcW w:w="6675" w:type="dxa"/>
            <w:gridSpan w:val="3"/>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项目编号</w:t>
            </w:r>
          </w:p>
        </w:tc>
        <w:tc>
          <w:tcPr>
            <w:tcW w:w="2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c>
          <w:tcPr>
            <w:tcW w:w="123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包号</w:t>
            </w:r>
          </w:p>
        </w:tc>
        <w:tc>
          <w:tcPr>
            <w:tcW w:w="32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供应商/供应商名称</w:t>
            </w:r>
          </w:p>
        </w:tc>
        <w:tc>
          <w:tcPr>
            <w:tcW w:w="66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纳税人识别号/统一社会信用代码</w:t>
            </w:r>
          </w:p>
        </w:tc>
        <w:tc>
          <w:tcPr>
            <w:tcW w:w="66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开户银行</w:t>
            </w:r>
          </w:p>
        </w:tc>
        <w:tc>
          <w:tcPr>
            <w:tcW w:w="2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c>
          <w:tcPr>
            <w:tcW w:w="123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行号</w:t>
            </w:r>
          </w:p>
        </w:tc>
        <w:tc>
          <w:tcPr>
            <w:tcW w:w="32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账号</w:t>
            </w:r>
          </w:p>
        </w:tc>
        <w:tc>
          <w:tcPr>
            <w:tcW w:w="2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c>
          <w:tcPr>
            <w:tcW w:w="123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发票类型</w:t>
            </w:r>
          </w:p>
        </w:tc>
        <w:tc>
          <w:tcPr>
            <w:tcW w:w="32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（增值税专用发票或普票）</w:t>
            </w: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授权代表</w:t>
            </w:r>
          </w:p>
        </w:tc>
        <w:tc>
          <w:tcPr>
            <w:tcW w:w="2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c>
          <w:tcPr>
            <w:tcW w:w="123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联系电话</w:t>
            </w:r>
          </w:p>
        </w:tc>
        <w:tc>
          <w:tcPr>
            <w:tcW w:w="32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r>
        <w:tblPrEx>
          <w:shd w:val="clear" w:color="auto" w:fill="FFFFFF"/>
        </w:tblPrEx>
        <w:trPr>
          <w:trHeight w:val="425" w:hRule="atLeast"/>
          <w:jc w:val="center"/>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地址</w:t>
            </w:r>
          </w:p>
        </w:tc>
        <w:tc>
          <w:tcPr>
            <w:tcW w:w="2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c>
          <w:tcPr>
            <w:tcW w:w="123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r>
              <w:rPr>
                <w:rFonts w:cs="宋体"/>
                <w:color w:val="383838"/>
                <w:kern w:val="0"/>
                <w:szCs w:val="21"/>
              </w:rPr>
              <w:t>邮箱</w:t>
            </w:r>
          </w:p>
        </w:tc>
        <w:tc>
          <w:tcPr>
            <w:tcW w:w="32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textAlignment w:val="baseline"/>
              <w:rPr>
                <w:rFonts w:cs="宋体"/>
                <w:color w:val="383838"/>
                <w:kern w:val="0"/>
                <w:szCs w:val="21"/>
              </w:rPr>
            </w:pPr>
          </w:p>
        </w:tc>
      </w:tr>
    </w:tbl>
    <w:p>
      <w:pPr>
        <w:spacing w:line="360" w:lineRule="auto"/>
        <w:ind w:firstLine="420" w:firstLineChars="200"/>
        <w:outlineLvl w:val="1"/>
        <w:rPr>
          <w:rFonts w:hint="eastAsia" w:ascii="宋体" w:hAnsi="宋体" w:cs="宋体"/>
          <w:b/>
          <w:bCs/>
          <w:szCs w:val="21"/>
        </w:rPr>
      </w:pPr>
      <w:bookmarkStart w:id="9" w:name="_GoBack"/>
      <w:bookmarkEnd w:id="9"/>
      <w:r>
        <w:rPr>
          <w:rFonts w:hint="eastAsia" w:ascii="宋体" w:hAnsi="宋体" w:cs="宋体"/>
          <w:b/>
          <w:bCs/>
          <w:szCs w:val="21"/>
        </w:rPr>
        <w:br w:type="page"/>
      </w:r>
    </w:p>
    <w:p>
      <w:pPr>
        <w:spacing w:line="360" w:lineRule="auto"/>
        <w:ind w:firstLine="420" w:firstLineChars="200"/>
        <w:outlineLvl w:val="1"/>
        <w:rPr>
          <w:rFonts w:hint="eastAsia" w:ascii="宋体" w:hAnsi="宋体" w:cs="宋体"/>
          <w:b/>
          <w:bCs/>
          <w:szCs w:val="21"/>
        </w:rPr>
      </w:pPr>
      <w:r>
        <w:rPr>
          <w:rFonts w:hint="eastAsia" w:ascii="宋体" w:hAnsi="宋体" w:cs="宋体"/>
          <w:b/>
          <w:bCs/>
          <w:szCs w:val="21"/>
        </w:rPr>
        <w:t>一、</w:t>
      </w:r>
      <w:bookmarkStart w:id="5" w:name="_Toc32765"/>
      <w:bookmarkStart w:id="6" w:name="_Toc6000"/>
      <w:r>
        <w:rPr>
          <w:rFonts w:hint="eastAsia" w:ascii="宋体" w:hAnsi="宋体" w:cs="宋体"/>
          <w:b/>
          <w:bCs/>
          <w:szCs w:val="21"/>
        </w:rPr>
        <w:t>项目标的</w:t>
      </w:r>
      <w:bookmarkEnd w:id="0"/>
    </w:p>
    <w:p>
      <w:pPr>
        <w:spacing w:line="360" w:lineRule="auto"/>
        <w:ind w:firstLine="420" w:firstLineChars="200"/>
        <w:rPr>
          <w:rFonts w:ascii="宋体" w:hAnsi="宋体" w:cs="宋体"/>
          <w:szCs w:val="21"/>
        </w:rPr>
      </w:pPr>
      <w:r>
        <w:rPr>
          <w:rFonts w:hint="eastAsia" w:ascii="宋体" w:hAnsi="宋体" w:cs="宋体"/>
          <w:szCs w:val="21"/>
        </w:rPr>
        <w:t>完成干部人事档案数字化工作，建立干部人事档案管理信息系统，实现干部人事数字档案在线查阅和管理。</w:t>
      </w:r>
    </w:p>
    <w:tbl>
      <w:tblPr>
        <w:tblStyle w:val="4"/>
        <w:tblW w:w="0" w:type="auto"/>
        <w:jc w:val="center"/>
        <w:tblLayout w:type="fixed"/>
        <w:tblCellMar>
          <w:top w:w="15" w:type="dxa"/>
          <w:left w:w="15" w:type="dxa"/>
          <w:bottom w:w="15" w:type="dxa"/>
          <w:right w:w="15" w:type="dxa"/>
        </w:tblCellMar>
      </w:tblPr>
      <w:tblGrid>
        <w:gridCol w:w="1480"/>
        <w:gridCol w:w="934"/>
        <w:gridCol w:w="6658"/>
      </w:tblGrid>
      <w:tr>
        <w:trPr>
          <w:trHeight w:val="425" w:hRule="atLeast"/>
          <w:jc w:val="center"/>
        </w:trPr>
        <w:tc>
          <w:tcPr>
            <w:tcW w:w="1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szCs w:val="21"/>
              </w:rPr>
            </w:pPr>
            <w:r>
              <w:rPr>
                <w:kern w:val="0"/>
                <w:szCs w:val="21"/>
              </w:rPr>
              <w:t>项目内容</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szCs w:val="21"/>
              </w:rPr>
            </w:pPr>
            <w:r>
              <w:rPr>
                <w:kern w:val="0"/>
                <w:szCs w:val="21"/>
              </w:rPr>
              <w:t>数量</w:t>
            </w:r>
          </w:p>
        </w:tc>
        <w:tc>
          <w:tcPr>
            <w:tcW w:w="66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szCs w:val="21"/>
              </w:rPr>
            </w:pPr>
            <w:r>
              <w:rPr>
                <w:szCs w:val="21"/>
              </w:rPr>
              <w:t>需求概况</w:t>
            </w:r>
          </w:p>
        </w:tc>
      </w:tr>
      <w:tr>
        <w:trPr>
          <w:trHeight w:val="425" w:hRule="atLeast"/>
          <w:jc w:val="center"/>
        </w:trPr>
        <w:tc>
          <w:tcPr>
            <w:tcW w:w="1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szCs w:val="21"/>
              </w:rPr>
            </w:pPr>
            <w:r>
              <w:rPr>
                <w:szCs w:val="21"/>
              </w:rPr>
              <w:t>江汉大学</w:t>
            </w:r>
          </w:p>
          <w:p>
            <w:pPr>
              <w:widowControl/>
              <w:spacing w:line="360" w:lineRule="auto"/>
              <w:jc w:val="center"/>
              <w:textAlignment w:val="center"/>
              <w:rPr>
                <w:szCs w:val="21"/>
              </w:rPr>
            </w:pPr>
            <w:r>
              <w:rPr>
                <w:szCs w:val="21"/>
              </w:rPr>
              <w:t>干部人事档案</w:t>
            </w:r>
          </w:p>
          <w:p>
            <w:pPr>
              <w:widowControl/>
              <w:spacing w:line="360" w:lineRule="auto"/>
              <w:jc w:val="center"/>
              <w:textAlignment w:val="center"/>
              <w:rPr>
                <w:kern w:val="0"/>
                <w:szCs w:val="21"/>
              </w:rPr>
            </w:pPr>
            <w:r>
              <w:rPr>
                <w:szCs w:val="21"/>
              </w:rPr>
              <w:t>数字化工作</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kern w:val="0"/>
                <w:szCs w:val="21"/>
              </w:rPr>
            </w:pPr>
            <w:r>
              <w:rPr>
                <w:kern w:val="0"/>
                <w:szCs w:val="21"/>
              </w:rPr>
              <w:t>1700卷</w:t>
            </w:r>
          </w:p>
        </w:tc>
        <w:tc>
          <w:tcPr>
            <w:tcW w:w="66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textAlignment w:val="center"/>
              <w:rPr>
                <w:kern w:val="0"/>
                <w:szCs w:val="21"/>
              </w:rPr>
            </w:pPr>
            <w:r>
              <w:rPr>
                <w:kern w:val="0"/>
                <w:szCs w:val="21"/>
              </w:rPr>
              <w:t>根据《2016-2020年湖北省组织系统信息化工作规划》安排，完成干部人事档案数字化工作，建立干部人事档案管理信息系统，实现干部人事数字档案在线查阅和管理。</w:t>
            </w:r>
            <w:r>
              <w:rPr>
                <w:szCs w:val="21"/>
              </w:rPr>
              <w:t>签订</w:t>
            </w:r>
            <w:r>
              <w:rPr>
                <w:szCs w:val="21"/>
                <w:lang w:val="zh-CN"/>
              </w:rPr>
              <w:t>《档案数字化委托加工保密协议》，完成</w:t>
            </w:r>
            <w:r>
              <w:rPr>
                <w:szCs w:val="21"/>
              </w:rPr>
              <w:t>1700卷干部人事</w:t>
            </w:r>
            <w:r>
              <w:rPr>
                <w:kern w:val="0"/>
                <w:szCs w:val="21"/>
              </w:rPr>
              <w:t>档案数字化加工、管理及利用，</w:t>
            </w:r>
            <w:r>
              <w:rPr>
                <w:bCs/>
                <w:szCs w:val="21"/>
              </w:rPr>
              <w:t>2021年12月31日前完成副高级以上专业技术职务（职称）人员档案数字化工作，2022年6月30日前完成其他人员档案数字化工作</w:t>
            </w:r>
            <w:r>
              <w:rPr>
                <w:szCs w:val="21"/>
              </w:rPr>
              <w:t>。</w:t>
            </w:r>
          </w:p>
        </w:tc>
      </w:tr>
      <w:tr>
        <w:trPr>
          <w:trHeight w:val="425" w:hRule="atLeast"/>
          <w:jc w:val="center"/>
        </w:trPr>
        <w:tc>
          <w:tcPr>
            <w:tcW w:w="1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szCs w:val="21"/>
              </w:rPr>
            </w:pPr>
            <w:r>
              <w:rPr>
                <w:szCs w:val="21"/>
              </w:rPr>
              <w:t>平板扫描仪</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kern w:val="0"/>
                <w:szCs w:val="21"/>
              </w:rPr>
            </w:pPr>
            <w:r>
              <w:rPr>
                <w:kern w:val="0"/>
                <w:szCs w:val="21"/>
              </w:rPr>
              <w:t>1台</w:t>
            </w:r>
          </w:p>
        </w:tc>
        <w:tc>
          <w:tcPr>
            <w:tcW w:w="66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textAlignment w:val="center"/>
              <w:rPr>
                <w:kern w:val="0"/>
                <w:szCs w:val="21"/>
              </w:rPr>
            </w:pPr>
            <w:r>
              <w:rPr>
                <w:kern w:val="0"/>
                <w:szCs w:val="21"/>
              </w:rPr>
              <w:t>A3幅面，扫描速度每页3秒以下，200dpi以上。具备歪斜校正、原稿尺寸裁剪、去底色、旋转、去白页、加框等功能。</w:t>
            </w:r>
          </w:p>
        </w:tc>
      </w:tr>
    </w:tbl>
    <w:p>
      <w:pPr>
        <w:spacing w:line="360" w:lineRule="auto"/>
        <w:ind w:firstLine="420" w:firstLineChars="200"/>
        <w:outlineLvl w:val="1"/>
        <w:rPr>
          <w:rFonts w:hint="eastAsia" w:ascii="宋体" w:hAnsi="宋体" w:cs="宋体"/>
          <w:szCs w:val="21"/>
        </w:rPr>
      </w:pPr>
      <w:bookmarkStart w:id="7" w:name="_Toc71711075"/>
      <w:r>
        <w:rPr>
          <w:rFonts w:hint="eastAsia" w:ascii="宋体" w:hAnsi="宋体" w:cs="宋体"/>
          <w:szCs w:val="21"/>
        </w:rPr>
        <w:t>二</w:t>
      </w:r>
      <w:r>
        <w:rPr>
          <w:rFonts w:ascii="宋体" w:hAnsi="宋体" w:cs="宋体"/>
          <w:szCs w:val="21"/>
        </w:rPr>
        <w:t>、</w:t>
      </w:r>
      <w:r>
        <w:rPr>
          <w:rFonts w:hint="eastAsia" w:ascii="宋体" w:hAnsi="宋体" w:cs="宋体"/>
          <w:b/>
          <w:bCs/>
          <w:szCs w:val="21"/>
        </w:rPr>
        <w:t>技术要求</w:t>
      </w:r>
      <w:bookmarkEnd w:id="1"/>
      <w:bookmarkEnd w:id="2"/>
      <w:bookmarkEnd w:id="3"/>
      <w:bookmarkEnd w:id="4"/>
      <w:bookmarkEnd w:id="5"/>
      <w:bookmarkEnd w:id="6"/>
      <w:bookmarkEnd w:id="7"/>
    </w:p>
    <w:p>
      <w:pPr>
        <w:spacing w:line="360" w:lineRule="auto"/>
        <w:ind w:firstLine="420" w:firstLineChars="200"/>
        <w:rPr>
          <w:szCs w:val="32"/>
        </w:rPr>
      </w:pPr>
      <w:r>
        <w:rPr>
          <w:szCs w:val="32"/>
        </w:rPr>
        <w:t>干部人事档案整理必须认真执行《干部人事档案工作条例》《干部人事档案材料收集归档规定》《关于完善干部人事档案材料的通知》《干部档案整理工作细则》《关于做好干部人事档案改版升级工作的通知》《湖北省干部人事档案数字化操作规范和主要技术标准》等有关法规，结合湖北省委组织部干部人事档案建设标准与要求进行实施。整理与数字化人员需要具备一定的政治及专业素质，整理人员需熟悉干部工作方针、政策，了解有关知识和档案专业知识，熟悉整理干部人事档案的有关规定，掌握整理工作的基本方法和技能；数字化人员需具备一定的计算机软件应用能力、数据库应用能力、图片处理能力。同时，要具备极高的责任心和保密意识。</w:t>
      </w:r>
    </w:p>
    <w:p>
      <w:pPr>
        <w:spacing w:line="360" w:lineRule="auto"/>
        <w:ind w:firstLine="420" w:firstLineChars="200"/>
        <w:rPr>
          <w:b/>
          <w:bCs/>
          <w:szCs w:val="32"/>
        </w:rPr>
      </w:pPr>
      <w:r>
        <w:rPr>
          <w:b/>
          <w:bCs/>
          <w:szCs w:val="32"/>
        </w:rPr>
        <w:t>（一）总体质量要求</w:t>
      </w:r>
    </w:p>
    <w:p>
      <w:pPr>
        <w:spacing w:line="360" w:lineRule="auto"/>
        <w:ind w:firstLine="420" w:firstLineChars="200"/>
        <w:rPr>
          <w:szCs w:val="32"/>
        </w:rPr>
      </w:pPr>
      <w:r>
        <w:rPr>
          <w:szCs w:val="32"/>
        </w:rPr>
        <w:t>按照中组部和省委组织部档案整理标准，对1700卷干部人事档案整理以后形成的新的档案材料进行整理、查缺、裱糊、编码、打孔、装订、复</w:t>
      </w:r>
      <w:r>
        <w:rPr>
          <w:rFonts w:hint="eastAsia"/>
          <w:szCs w:val="32"/>
        </w:rPr>
        <w:t>审</w:t>
      </w:r>
      <w:r>
        <w:rPr>
          <w:szCs w:val="32"/>
        </w:rPr>
        <w:t>、著目、装盒、打印标签及数字化扫描、高清图像处理，导入</w:t>
      </w:r>
      <w:r>
        <w:rPr>
          <w:rFonts w:hint="eastAsia"/>
          <w:szCs w:val="32"/>
        </w:rPr>
        <w:t>江汉大学</w:t>
      </w:r>
      <w:r>
        <w:rPr>
          <w:szCs w:val="32"/>
        </w:rPr>
        <w:t>干部人事档案信息管理系统，确保数字化档案数据能够与中共湖北省委组织部数据存储和数据交换格式无缝对接。确保分类准确、编码规范，确保目录与材料一一对应。</w:t>
      </w:r>
    </w:p>
    <w:p>
      <w:pPr>
        <w:numPr>
          <w:ilvl w:val="0"/>
          <w:numId w:val="1"/>
        </w:numPr>
        <w:spacing w:line="360" w:lineRule="auto"/>
        <w:ind w:firstLine="396" w:firstLineChars="200"/>
        <w:rPr>
          <w:spacing w:val="-6"/>
          <w:szCs w:val="32"/>
        </w:rPr>
      </w:pPr>
      <w:r>
        <w:rPr>
          <w:spacing w:val="-6"/>
          <w:szCs w:val="32"/>
        </w:rPr>
        <w:t>干部人事档案数字化工作，严格执行中组部《干部人事档案数字化技术规范》</w:t>
      </w:r>
      <w:r>
        <w:rPr>
          <w:spacing w:val="-17"/>
          <w:szCs w:val="32"/>
        </w:rPr>
        <w:t>（GB/T33870—2017，2017年7月1日颁布的中华人民共和国国家标准）</w:t>
      </w:r>
      <w:r>
        <w:rPr>
          <w:spacing w:val="-6"/>
          <w:szCs w:val="32"/>
        </w:rPr>
        <w:t>和《湖北省干部人事档案数字化操作规范和主要技术标准》，严格按照工作环节和流程开展工作、组织验收，确保技术标准统一，确保数字档案质量。</w:t>
      </w:r>
    </w:p>
    <w:p>
      <w:pPr>
        <w:numPr>
          <w:ilvl w:val="0"/>
          <w:numId w:val="1"/>
        </w:numPr>
        <w:spacing w:line="360" w:lineRule="auto"/>
        <w:ind w:firstLine="352" w:firstLineChars="200"/>
        <w:rPr>
          <w:spacing w:val="-6"/>
          <w:szCs w:val="32"/>
        </w:rPr>
      </w:pPr>
      <w:r>
        <w:rPr>
          <w:spacing w:val="-17"/>
          <w:szCs w:val="32"/>
        </w:rPr>
        <w:t>按照中组部《干部人事档案数字化技术规范》（GB/T33870—2017，2017年7月1日颁布的中华人民共和国国家标准），采用专业平板扫描仪和高速扫描仪相互配合进行扫描加工，要求在扫描过程中不对档案原件造成破坏，保证档案扫描图像与原件一致、整洁、清晰。支持档案扫描、高清处理、档案管理、目录挂接、目录打印、数据导入导出等功能。</w:t>
      </w:r>
    </w:p>
    <w:p>
      <w:pPr>
        <w:numPr>
          <w:ilvl w:val="0"/>
          <w:numId w:val="1"/>
        </w:numPr>
        <w:spacing w:line="360" w:lineRule="auto"/>
        <w:ind w:firstLine="420" w:firstLineChars="200"/>
        <w:rPr>
          <w:szCs w:val="32"/>
        </w:rPr>
      </w:pPr>
      <w:r>
        <w:rPr>
          <w:szCs w:val="32"/>
        </w:rPr>
        <w:t>基本原则。干部人事档案数字化的基本原则是：数字档案信息与纸质档案内容完全一致，数字化前后档案原件的各种描述性信息不变。数字档案与纸质档案在卷数、页数、内容上与纸质档案完全一致，不得有缺损。数字档案信息可查找、检索、呈现或编研，使档案信息资源准确、方便、快捷地提供利用。建立身份认证体系，确保档案信息安全。</w:t>
      </w:r>
    </w:p>
    <w:p>
      <w:pPr>
        <w:numPr>
          <w:ilvl w:val="0"/>
          <w:numId w:val="1"/>
        </w:numPr>
        <w:spacing w:line="360" w:lineRule="auto"/>
        <w:ind w:firstLine="420" w:firstLineChars="200"/>
        <w:rPr>
          <w:szCs w:val="32"/>
        </w:rPr>
      </w:pPr>
      <w:r>
        <w:rPr>
          <w:szCs w:val="32"/>
        </w:rPr>
        <w:t>基本环节。包括人员建库、目录建库、档案扫描、图像处理、数据存储、质量审核、数据备份等。</w:t>
      </w:r>
    </w:p>
    <w:p>
      <w:pPr>
        <w:numPr>
          <w:ilvl w:val="0"/>
          <w:numId w:val="1"/>
        </w:numPr>
        <w:spacing w:line="360" w:lineRule="auto"/>
        <w:ind w:firstLine="420" w:firstLineChars="200"/>
        <w:rPr>
          <w:szCs w:val="32"/>
        </w:rPr>
      </w:pPr>
      <w:r>
        <w:rPr>
          <w:szCs w:val="32"/>
        </w:rPr>
        <w:t>目录著录符合《干部人事档案工作条例》《干部档案整理工作细则》《关于做好干部人事档案改版升级工作的通知》要求，保证数据库目录与档案实体文件一一对应，不得出现缺录、漏录、重录、顺序颠倒、件号错动、不连续等情况。</w:t>
      </w:r>
    </w:p>
    <w:p>
      <w:pPr>
        <w:numPr>
          <w:ilvl w:val="0"/>
          <w:numId w:val="1"/>
        </w:numPr>
        <w:spacing w:line="360" w:lineRule="auto"/>
        <w:ind w:firstLine="420" w:firstLineChars="200"/>
        <w:rPr>
          <w:szCs w:val="32"/>
        </w:rPr>
      </w:pPr>
      <w:r>
        <w:rPr>
          <w:szCs w:val="32"/>
        </w:rPr>
        <w:t>文件格式。扫描图像成品最终生成真彩色24位RGB模式JPG 图像格式与PDF 格式两种格式，扫描分辨率不得低于300dpi。</w:t>
      </w:r>
    </w:p>
    <w:p>
      <w:pPr>
        <w:numPr>
          <w:ilvl w:val="0"/>
          <w:numId w:val="1"/>
        </w:numPr>
        <w:spacing w:line="360" w:lineRule="auto"/>
        <w:ind w:firstLine="420" w:firstLineChars="200"/>
        <w:rPr>
          <w:szCs w:val="32"/>
        </w:rPr>
      </w:pPr>
      <w:r>
        <w:rPr>
          <w:szCs w:val="32"/>
        </w:rPr>
        <w:t>扫描时要做到不缺页、不重页、图像内容完整，不影响图像的利用效果；电子图片的倾斜度不得超出1度，不允许有折叠、遮字、缺损，保持图像的完整，图片端正、无扭曲；要求电子影像数据准确、索引数据准确并与纸质档案匹配。</w:t>
      </w:r>
    </w:p>
    <w:p>
      <w:pPr>
        <w:numPr>
          <w:ilvl w:val="0"/>
          <w:numId w:val="1"/>
        </w:numPr>
        <w:spacing w:line="360" w:lineRule="auto"/>
        <w:ind w:firstLine="420" w:firstLineChars="200"/>
        <w:rPr>
          <w:szCs w:val="32"/>
        </w:rPr>
      </w:pPr>
      <w:r>
        <w:rPr>
          <w:szCs w:val="32"/>
        </w:rPr>
        <w:t>图像文件挂接到干部人事档案管理软件系统中，保证100％的挂接正确率与检索、显示的成功率。</w:t>
      </w:r>
    </w:p>
    <w:p>
      <w:pPr>
        <w:spacing w:line="360" w:lineRule="auto"/>
        <w:ind w:firstLine="420" w:firstLineChars="200"/>
        <w:rPr>
          <w:b/>
          <w:bCs/>
          <w:szCs w:val="32"/>
        </w:rPr>
      </w:pPr>
      <w:r>
        <w:rPr>
          <w:b/>
          <w:bCs/>
          <w:szCs w:val="32"/>
        </w:rPr>
        <w:t>（二）档案数字化加工要求</w:t>
      </w:r>
    </w:p>
    <w:p>
      <w:pPr>
        <w:spacing w:line="360" w:lineRule="auto"/>
        <w:ind w:firstLine="420" w:firstLineChars="200"/>
        <w:rPr>
          <w:color w:val="FF0000"/>
          <w:szCs w:val="32"/>
        </w:rPr>
      </w:pPr>
      <w:r>
        <w:rPr>
          <w:szCs w:val="32"/>
        </w:rPr>
        <w:t>1. 根据采购人提供的工作单核对目录，修改有错误的目录并将档案实体按照实际扫描页重新编辑并填写到工作单中，作为质检依据；</w:t>
      </w:r>
    </w:p>
    <w:p>
      <w:pPr>
        <w:spacing w:line="360" w:lineRule="auto"/>
        <w:ind w:firstLine="420" w:firstLineChars="200"/>
        <w:rPr>
          <w:szCs w:val="32"/>
        </w:rPr>
      </w:pPr>
      <w:r>
        <w:rPr>
          <w:szCs w:val="32"/>
        </w:rPr>
        <w:t>2. 启钉、拆分，保证纸张的平整、抚平边角；</w:t>
      </w:r>
    </w:p>
    <w:p>
      <w:pPr>
        <w:spacing w:line="360" w:lineRule="auto"/>
        <w:ind w:firstLine="420" w:firstLineChars="200"/>
        <w:rPr>
          <w:szCs w:val="32"/>
        </w:rPr>
      </w:pPr>
      <w:r>
        <w:rPr>
          <w:szCs w:val="32"/>
        </w:rPr>
        <w:t>3. 采用最为可靠的扫描设备和扫描方式完成档案扫描，避免纸张褶皱、撕裂、破损等情况的发生；</w:t>
      </w:r>
    </w:p>
    <w:p>
      <w:pPr>
        <w:spacing w:line="360" w:lineRule="auto"/>
        <w:ind w:firstLine="420" w:firstLineChars="200"/>
        <w:rPr>
          <w:szCs w:val="32"/>
        </w:rPr>
      </w:pPr>
      <w:r>
        <w:rPr>
          <w:szCs w:val="32"/>
        </w:rPr>
        <w:t>4. 如遇到档案纸张质地脆弱，不适合反复拆装订的档案，应采用不拆卷扫描设备和方式进行扫描；</w:t>
      </w:r>
    </w:p>
    <w:p>
      <w:pPr>
        <w:spacing w:line="360" w:lineRule="auto"/>
        <w:ind w:firstLine="420" w:firstLineChars="200"/>
        <w:rPr>
          <w:spacing w:val="-6"/>
          <w:szCs w:val="32"/>
        </w:rPr>
      </w:pPr>
      <w:r>
        <w:rPr>
          <w:szCs w:val="32"/>
        </w:rPr>
        <w:t xml:space="preserve">5. </w:t>
      </w:r>
      <w:r>
        <w:rPr>
          <w:spacing w:val="-6"/>
          <w:szCs w:val="32"/>
        </w:rPr>
        <w:t>采用平板进纸方式扫描，尽量确保纸张扫描时放置端正，从而保证原始扫描图像无歪斜，减少后期处理可能带来的图像失真；</w:t>
      </w:r>
    </w:p>
    <w:p>
      <w:pPr>
        <w:spacing w:line="360" w:lineRule="auto"/>
        <w:ind w:firstLine="420" w:firstLineChars="200"/>
        <w:rPr>
          <w:szCs w:val="32"/>
        </w:rPr>
      </w:pPr>
      <w:r>
        <w:rPr>
          <w:szCs w:val="32"/>
        </w:rPr>
        <w:t>6. 对于档案中的“筒子页”，应当平摊开后进行整幅扫描。折子页、图纸、表格等应整页扫描。超长页进行分页扫描后，要拼接成一页；</w:t>
      </w:r>
    </w:p>
    <w:p>
      <w:pPr>
        <w:spacing w:line="360" w:lineRule="auto"/>
        <w:ind w:firstLine="420" w:firstLineChars="200"/>
        <w:rPr>
          <w:szCs w:val="32"/>
        </w:rPr>
      </w:pPr>
      <w:r>
        <w:rPr>
          <w:szCs w:val="32"/>
        </w:rPr>
        <w:t>7. 扫描后的原始图像需要进行优化处理，使得成品图像清晰、端正。根据档案扫描后的具体情况，要进行如下图像处理：</w:t>
      </w:r>
    </w:p>
    <w:p>
      <w:pPr>
        <w:spacing w:line="360" w:lineRule="auto"/>
        <w:ind w:firstLine="420" w:firstLineChars="200"/>
        <w:rPr>
          <w:szCs w:val="32"/>
        </w:rPr>
      </w:pPr>
      <w:r>
        <w:rPr>
          <w:szCs w:val="32"/>
        </w:rPr>
        <w:t>图像歪斜：采用自动或手动纠偏功能，调整图像角度。图像偏斜度不超过2度，对方向不正确的图像应进行旋转还原，以符合阅读习惯；</w:t>
      </w:r>
    </w:p>
    <w:p>
      <w:pPr>
        <w:spacing w:line="360" w:lineRule="auto"/>
        <w:ind w:firstLine="420" w:firstLineChars="200"/>
        <w:rPr>
          <w:szCs w:val="32"/>
        </w:rPr>
      </w:pPr>
      <w:r>
        <w:rPr>
          <w:szCs w:val="32"/>
        </w:rPr>
        <w:t>图像脏点、脏斑：对图像页面中出现的影响图像质量的杂质如黑点、黑线、黑框、黑边等应进行去污处理。处理过程中应遵循保持档案原貌的原则。为了节省存储空间，应对图像进行裁边处理，去除多余白边；</w:t>
      </w:r>
    </w:p>
    <w:p>
      <w:pPr>
        <w:spacing w:line="360" w:lineRule="auto"/>
        <w:ind w:firstLine="420" w:firstLineChars="200"/>
        <w:rPr>
          <w:szCs w:val="32"/>
        </w:rPr>
      </w:pPr>
      <w:r>
        <w:rPr>
          <w:szCs w:val="32"/>
        </w:rPr>
        <w:t>字迹洇透：采用字迹锐化的功能，清晰字迹笔画；</w:t>
      </w:r>
    </w:p>
    <w:p>
      <w:pPr>
        <w:spacing w:line="360" w:lineRule="auto"/>
        <w:ind w:firstLine="420" w:firstLineChars="200"/>
        <w:rPr>
          <w:szCs w:val="32"/>
        </w:rPr>
      </w:pPr>
      <w:r>
        <w:rPr>
          <w:szCs w:val="32"/>
        </w:rPr>
        <w:t>图像深浅不一：采用平衡功能，调整图像深浅一致；</w:t>
      </w:r>
    </w:p>
    <w:p>
      <w:pPr>
        <w:spacing w:line="360" w:lineRule="auto"/>
        <w:ind w:firstLine="420" w:firstLineChars="200"/>
        <w:rPr>
          <w:szCs w:val="32"/>
        </w:rPr>
      </w:pPr>
      <w:r>
        <w:rPr>
          <w:szCs w:val="32"/>
        </w:rPr>
        <w:t>图像拼接处信息要完整，不能缺少信息。</w:t>
      </w:r>
    </w:p>
    <w:p>
      <w:pPr>
        <w:spacing w:line="360" w:lineRule="auto"/>
        <w:ind w:firstLine="420" w:firstLineChars="200"/>
        <w:rPr>
          <w:szCs w:val="32"/>
        </w:rPr>
      </w:pPr>
      <w:r>
        <w:rPr>
          <w:b/>
          <w:bCs/>
          <w:szCs w:val="32"/>
        </w:rPr>
        <w:t>（三）图像、数据挂接要求</w:t>
      </w:r>
    </w:p>
    <w:p>
      <w:pPr>
        <w:spacing w:line="360" w:lineRule="auto"/>
        <w:ind w:firstLine="420" w:firstLineChars="200"/>
        <w:rPr>
          <w:szCs w:val="32"/>
        </w:rPr>
      </w:pPr>
      <w:r>
        <w:rPr>
          <w:szCs w:val="32"/>
        </w:rPr>
        <w:t>1. 为确保数据挂接的正确性，供应商应确保档案目录数据（案卷目录、卷内目录）与档案扫描图像的一一对应，确保加工扫描成果在采购人所使用的档案管理系统中有效检索和显示。</w:t>
      </w:r>
    </w:p>
    <w:p>
      <w:pPr>
        <w:spacing w:line="360" w:lineRule="auto"/>
        <w:ind w:firstLine="420" w:firstLineChars="200"/>
        <w:rPr>
          <w:szCs w:val="32"/>
        </w:rPr>
      </w:pPr>
      <w:r>
        <w:rPr>
          <w:szCs w:val="32"/>
        </w:rPr>
        <w:t>2. 档案扫描完成后，需与现有的条目数据进行一一对应挂接。其中，扫描文件以卷为单位进行存储，案卷目录应对应到相应图像文件所在的文件夹；卷内目录应对应到相应页数的图像文件。</w:t>
      </w:r>
    </w:p>
    <w:p>
      <w:pPr>
        <w:spacing w:line="360" w:lineRule="auto"/>
        <w:ind w:firstLine="420" w:firstLineChars="200"/>
        <w:rPr>
          <w:szCs w:val="32"/>
        </w:rPr>
      </w:pPr>
      <w:r>
        <w:rPr>
          <w:szCs w:val="32"/>
        </w:rPr>
        <w:t>3. 采购人按批次提供案卷给供应商。采购人对供应商质检后的扫描图像进行检查。当抽检图象不合格率低于5‰、扫描图像100%挂接正确时，采购人可提供下一批次案卷，但供应商需对错误数据重新检查修改，直到合格率达100%；如抽检不合格率高于5‰，采购人有权不予提供错误数据并且不再提供下一批案卷，采购人将该批案卷全部退回给供应商重新检查修改，直到质检合格，由此造成的后果由供应商负责。</w:t>
      </w:r>
    </w:p>
    <w:p>
      <w:pPr>
        <w:spacing w:line="360" w:lineRule="auto"/>
        <w:ind w:firstLine="420" w:firstLineChars="200"/>
        <w:rPr>
          <w:b/>
          <w:bCs/>
          <w:szCs w:val="32"/>
        </w:rPr>
      </w:pPr>
      <w:r>
        <w:rPr>
          <w:b/>
          <w:bCs/>
          <w:szCs w:val="32"/>
        </w:rPr>
        <w:t>（四）档案整理、装订要求</w:t>
      </w:r>
    </w:p>
    <w:p>
      <w:pPr>
        <w:spacing w:line="360" w:lineRule="auto"/>
        <w:ind w:firstLine="420" w:firstLineChars="200"/>
        <w:rPr>
          <w:spacing w:val="-6"/>
          <w:szCs w:val="32"/>
        </w:rPr>
      </w:pPr>
      <w:r>
        <w:rPr>
          <w:szCs w:val="32"/>
        </w:rPr>
        <w:t xml:space="preserve">1. </w:t>
      </w:r>
      <w:r>
        <w:rPr>
          <w:spacing w:val="-6"/>
          <w:szCs w:val="32"/>
        </w:rPr>
        <w:t>遵循尽可能保持档案原貌的原则，对扫描后的档案进行装订。</w:t>
      </w:r>
    </w:p>
    <w:p>
      <w:pPr>
        <w:spacing w:line="360" w:lineRule="auto"/>
        <w:ind w:firstLine="420" w:firstLineChars="200"/>
        <w:rPr>
          <w:szCs w:val="32"/>
        </w:rPr>
      </w:pPr>
      <w:r>
        <w:rPr>
          <w:szCs w:val="32"/>
        </w:rPr>
        <w:t>2. 档案装订应按照干部人事档案原有的装订方向进行，不可更换装订的位置（如：改右装订为左装订）。</w:t>
      </w:r>
    </w:p>
    <w:p>
      <w:pPr>
        <w:spacing w:line="360" w:lineRule="auto"/>
        <w:ind w:firstLine="420" w:firstLineChars="200"/>
        <w:rPr>
          <w:szCs w:val="32"/>
        </w:rPr>
      </w:pPr>
      <w:r>
        <w:rPr>
          <w:szCs w:val="32"/>
        </w:rPr>
        <w:t>3. 对于装订时某些页面必须进行折叠的情况，应以尽可能地减少折痕数为原则，能不折叠就尽量不折叠。</w:t>
      </w:r>
    </w:p>
    <w:p>
      <w:pPr>
        <w:spacing w:line="360" w:lineRule="auto"/>
        <w:ind w:firstLine="420" w:firstLineChars="200"/>
        <w:rPr>
          <w:szCs w:val="32"/>
        </w:rPr>
      </w:pPr>
      <w:r>
        <w:rPr>
          <w:szCs w:val="32"/>
        </w:rPr>
        <w:t>4. 档案装订，应遵循“两对齐”要求，即装订线一侧边缘对齐，档案内页下边缘对齐。</w:t>
      </w:r>
    </w:p>
    <w:p>
      <w:pPr>
        <w:spacing w:line="360" w:lineRule="auto"/>
        <w:ind w:firstLine="420" w:firstLineChars="200"/>
        <w:rPr>
          <w:szCs w:val="32"/>
        </w:rPr>
      </w:pPr>
      <w:r>
        <w:rPr>
          <w:szCs w:val="32"/>
        </w:rPr>
        <w:t>5. 档案装订应尽可能地按照原来的装订孔位进行装订，尽量不要新打孔装订，力求保护原件。</w:t>
      </w:r>
    </w:p>
    <w:p>
      <w:pPr>
        <w:spacing w:line="360" w:lineRule="auto"/>
        <w:ind w:firstLine="420" w:firstLineChars="200"/>
        <w:rPr>
          <w:b/>
          <w:bCs/>
          <w:szCs w:val="32"/>
        </w:rPr>
      </w:pPr>
      <w:r>
        <w:rPr>
          <w:b/>
          <w:bCs/>
          <w:szCs w:val="32"/>
        </w:rPr>
        <w:t>（五）作业环境及设备要求</w:t>
      </w:r>
    </w:p>
    <w:p>
      <w:pPr>
        <w:spacing w:line="360" w:lineRule="auto"/>
        <w:ind w:firstLine="420" w:firstLineChars="200"/>
        <w:rPr>
          <w:szCs w:val="32"/>
        </w:rPr>
      </w:pPr>
      <w:r>
        <w:rPr>
          <w:szCs w:val="32"/>
        </w:rPr>
        <w:t>1. 供应商须在供应商方案中明确加工场地规划，说明所配备的硬件数量及规格，软件和网络环境。</w:t>
      </w:r>
    </w:p>
    <w:p>
      <w:pPr>
        <w:spacing w:line="360" w:lineRule="auto"/>
        <w:ind w:firstLine="470" w:firstLineChars="224"/>
        <w:rPr>
          <w:rFonts w:hint="eastAsia" w:ascii="宋体" w:hAnsi="宋体" w:cs="宋体"/>
          <w:szCs w:val="21"/>
        </w:rPr>
      </w:pPr>
      <w:r>
        <w:rPr>
          <w:szCs w:val="32"/>
        </w:rPr>
        <w:t>2. 档案数字化加工要求在江汉大学指定场地内进行。供应商需提供数字化加工所需的全部设备及软件，并按采购人的保密、安全要求进行设备处理及网络布线，以及数字化加工中的软硬件及网络的维护工作。</w:t>
      </w:r>
    </w:p>
    <w:p>
      <w:pPr>
        <w:spacing w:line="360" w:lineRule="auto"/>
        <w:ind w:firstLine="420" w:firstLineChars="200"/>
        <w:outlineLvl w:val="1"/>
        <w:rPr>
          <w:rFonts w:ascii="宋体" w:hAnsi="宋体" w:cs="宋体"/>
          <w:b/>
          <w:szCs w:val="21"/>
        </w:rPr>
      </w:pPr>
      <w:bookmarkStart w:id="8" w:name="_Toc71711076"/>
      <w:r>
        <w:rPr>
          <w:rFonts w:hint="eastAsia" w:ascii="宋体" w:hAnsi="宋体" w:cs="宋体"/>
          <w:b/>
          <w:szCs w:val="21"/>
        </w:rPr>
        <w:t>三</w:t>
      </w:r>
      <w:r>
        <w:rPr>
          <w:rFonts w:ascii="宋体" w:hAnsi="宋体" w:cs="宋体"/>
          <w:b/>
          <w:szCs w:val="21"/>
        </w:rPr>
        <w:t>、商务要求</w:t>
      </w:r>
      <w:bookmarkEnd w:id="8"/>
    </w:p>
    <w:p>
      <w:pPr>
        <w:spacing w:line="360" w:lineRule="auto"/>
        <w:ind w:firstLine="420" w:firstLineChars="200"/>
        <w:rPr>
          <w:b/>
          <w:bCs/>
          <w:szCs w:val="32"/>
        </w:rPr>
      </w:pPr>
      <w:r>
        <w:rPr>
          <w:b/>
          <w:bCs/>
          <w:szCs w:val="32"/>
        </w:rPr>
        <w:t>（一）服务期</w:t>
      </w:r>
    </w:p>
    <w:p>
      <w:pPr>
        <w:spacing w:line="360" w:lineRule="auto"/>
        <w:ind w:firstLine="420" w:firstLineChars="200"/>
        <w:rPr>
          <w:szCs w:val="32"/>
        </w:rPr>
      </w:pPr>
      <w:r>
        <w:rPr>
          <w:szCs w:val="32"/>
        </w:rPr>
        <w:t>1. 在合同签订后，2021年12月31日前完成江汉大学副高级以上专业技术职务（职称）人员档案的整理和数字化工作，2022年6月30日前完成其他人员档案的整理和数字化工作。</w:t>
      </w:r>
    </w:p>
    <w:p>
      <w:pPr>
        <w:spacing w:line="360" w:lineRule="auto"/>
        <w:ind w:firstLine="420" w:firstLineChars="200"/>
        <w:rPr>
          <w:szCs w:val="32"/>
        </w:rPr>
      </w:pPr>
      <w:r>
        <w:rPr>
          <w:szCs w:val="32"/>
        </w:rPr>
        <w:t>2. 因工作量、技术等问题可能延长时，需双方再次协商确定。</w:t>
      </w:r>
    </w:p>
    <w:p>
      <w:pPr>
        <w:spacing w:line="360" w:lineRule="auto"/>
        <w:ind w:firstLine="420" w:firstLineChars="200"/>
        <w:rPr>
          <w:rFonts w:eastAsia="仿宋_GB2312"/>
          <w:sz w:val="32"/>
          <w:szCs w:val="32"/>
        </w:rPr>
      </w:pPr>
      <w:r>
        <w:rPr>
          <w:szCs w:val="32"/>
        </w:rPr>
        <w:t>3. 工作时间为江汉大学正常工作时间。</w:t>
      </w:r>
    </w:p>
    <w:p>
      <w:pPr>
        <w:spacing w:line="360" w:lineRule="auto"/>
        <w:ind w:firstLine="420" w:firstLineChars="200"/>
        <w:rPr>
          <w:b/>
          <w:bCs/>
          <w:szCs w:val="32"/>
        </w:rPr>
      </w:pPr>
      <w:r>
        <w:rPr>
          <w:b/>
          <w:bCs/>
          <w:szCs w:val="32"/>
        </w:rPr>
        <w:t>（二）质保期</w:t>
      </w:r>
    </w:p>
    <w:p>
      <w:pPr>
        <w:spacing w:line="360" w:lineRule="auto"/>
        <w:ind w:firstLine="420" w:firstLineChars="200"/>
        <w:rPr>
          <w:szCs w:val="32"/>
        </w:rPr>
      </w:pPr>
      <w:r>
        <w:rPr>
          <w:szCs w:val="32"/>
        </w:rPr>
        <w:t>验收通过后五年。</w:t>
      </w:r>
    </w:p>
    <w:p>
      <w:pPr>
        <w:spacing w:line="360" w:lineRule="auto"/>
        <w:ind w:firstLine="420" w:firstLineChars="200"/>
        <w:rPr>
          <w:b/>
          <w:bCs/>
          <w:szCs w:val="32"/>
        </w:rPr>
      </w:pPr>
      <w:r>
        <w:rPr>
          <w:b/>
          <w:bCs/>
          <w:szCs w:val="32"/>
        </w:rPr>
        <w:t>（三）人员要求</w:t>
      </w:r>
    </w:p>
    <w:p>
      <w:pPr>
        <w:spacing w:line="360" w:lineRule="auto"/>
        <w:ind w:firstLine="420" w:firstLineChars="200"/>
        <w:rPr>
          <w:szCs w:val="32"/>
        </w:rPr>
      </w:pPr>
      <w:r>
        <w:rPr>
          <w:szCs w:val="32"/>
        </w:rPr>
        <w:t>1. 供应商必须在响应文件中确定项目主管，说明主要参与人员的职责及任务，并附简历。所确定的人员原则上不允许更换，如更换须经采购人同意。</w:t>
      </w:r>
    </w:p>
    <w:p>
      <w:pPr>
        <w:spacing w:line="360" w:lineRule="auto"/>
        <w:ind w:firstLine="420" w:firstLineChars="200"/>
        <w:rPr>
          <w:szCs w:val="32"/>
        </w:rPr>
      </w:pPr>
      <w:r>
        <w:rPr>
          <w:szCs w:val="32"/>
        </w:rPr>
        <w:t>2. 遵守国家有关保密的规定，保证管理人员和工作人员的稳定。做到档案出入库登记与实物相符，实行责任到人的制度。</w:t>
      </w:r>
    </w:p>
    <w:p>
      <w:pPr>
        <w:spacing w:line="360" w:lineRule="auto"/>
        <w:ind w:firstLine="420" w:firstLineChars="200"/>
        <w:rPr>
          <w:b/>
          <w:bCs/>
          <w:szCs w:val="32"/>
        </w:rPr>
      </w:pPr>
      <w:r>
        <w:rPr>
          <w:b/>
          <w:bCs/>
          <w:szCs w:val="32"/>
        </w:rPr>
        <w:t>（四）付款方式及质保金</w:t>
      </w:r>
    </w:p>
    <w:p>
      <w:pPr>
        <w:spacing w:line="360" w:lineRule="auto"/>
        <w:ind w:firstLine="420" w:firstLineChars="200"/>
        <w:rPr>
          <w:rFonts w:hint="eastAsia"/>
          <w:szCs w:val="32"/>
        </w:rPr>
      </w:pPr>
      <w:r>
        <w:rPr>
          <w:szCs w:val="32"/>
        </w:rPr>
        <w:t xml:space="preserve">1. </w:t>
      </w:r>
      <w:r>
        <w:rPr>
          <w:rFonts w:hint="eastAsia"/>
          <w:szCs w:val="32"/>
        </w:rPr>
        <w:t>供应商在与采购人签订合同前，应向采购人提交合同总金额5%的履约保证金。项目验收合格后，该经费自动转为质保金。质保期满，若供应商无违约行为且提供的货物和服务无任何问题，则由采购人无息返还。</w:t>
      </w:r>
    </w:p>
    <w:p>
      <w:pPr>
        <w:spacing w:line="360" w:lineRule="auto"/>
        <w:ind w:firstLine="420" w:firstLineChars="200"/>
        <w:rPr>
          <w:rFonts w:hint="eastAsia"/>
          <w:szCs w:val="32"/>
        </w:rPr>
      </w:pPr>
      <w:r>
        <w:rPr>
          <w:rFonts w:hint="eastAsia"/>
          <w:szCs w:val="32"/>
        </w:rPr>
        <w:t>开户单位：江汉大学</w:t>
      </w:r>
    </w:p>
    <w:p>
      <w:pPr>
        <w:spacing w:line="360" w:lineRule="auto"/>
        <w:ind w:firstLine="420" w:firstLineChars="200"/>
        <w:rPr>
          <w:rFonts w:hint="eastAsia"/>
          <w:szCs w:val="32"/>
        </w:rPr>
      </w:pPr>
      <w:r>
        <w:rPr>
          <w:rFonts w:hint="eastAsia"/>
          <w:szCs w:val="32"/>
        </w:rPr>
        <w:t>账号：42001258178058005858</w:t>
      </w:r>
    </w:p>
    <w:p>
      <w:pPr>
        <w:spacing w:line="360" w:lineRule="auto"/>
        <w:ind w:firstLine="420" w:firstLineChars="200"/>
        <w:rPr>
          <w:rFonts w:hint="eastAsia"/>
          <w:szCs w:val="32"/>
        </w:rPr>
      </w:pPr>
      <w:r>
        <w:rPr>
          <w:rFonts w:hint="eastAsia"/>
          <w:szCs w:val="32"/>
        </w:rPr>
        <w:t>开户行：建设银行武汉东风支行</w:t>
      </w:r>
    </w:p>
    <w:p>
      <w:pPr>
        <w:spacing w:line="360" w:lineRule="auto"/>
        <w:ind w:firstLine="420" w:firstLineChars="200"/>
        <w:rPr>
          <w:szCs w:val="32"/>
        </w:rPr>
      </w:pPr>
      <w:r>
        <w:rPr>
          <w:rFonts w:hint="eastAsia"/>
          <w:szCs w:val="32"/>
        </w:rPr>
        <w:t>行号：(同城)  856757；（异地）105521002260</w:t>
      </w:r>
    </w:p>
    <w:p>
      <w:pPr>
        <w:spacing w:line="360" w:lineRule="auto"/>
        <w:ind w:firstLine="420" w:firstLineChars="200"/>
        <w:rPr>
          <w:szCs w:val="32"/>
        </w:rPr>
      </w:pPr>
      <w:r>
        <w:rPr>
          <w:szCs w:val="32"/>
        </w:rPr>
        <w:t>2. 合同签订后7个工作日内，</w:t>
      </w:r>
      <w:r>
        <w:rPr>
          <w:rFonts w:hint="eastAsia"/>
          <w:szCs w:val="32"/>
        </w:rPr>
        <w:t>采购人向</w:t>
      </w:r>
      <w:r>
        <w:rPr>
          <w:szCs w:val="32"/>
        </w:rPr>
        <w:t>成交供应商支付合同总金额15%的款项。</w:t>
      </w:r>
    </w:p>
    <w:p>
      <w:pPr>
        <w:spacing w:line="360" w:lineRule="auto"/>
        <w:ind w:firstLine="420" w:firstLineChars="200"/>
        <w:rPr>
          <w:szCs w:val="32"/>
        </w:rPr>
      </w:pPr>
      <w:r>
        <w:rPr>
          <w:szCs w:val="32"/>
        </w:rPr>
        <w:t xml:space="preserve">3. </w:t>
      </w:r>
      <w:r>
        <w:rPr>
          <w:rFonts w:hint="eastAsia"/>
          <w:szCs w:val="32"/>
        </w:rPr>
        <w:t>成交</w:t>
      </w:r>
      <w:r>
        <w:rPr>
          <w:szCs w:val="32"/>
        </w:rPr>
        <w:t>供应商完成约定工作量50%时，自检合格，</w:t>
      </w:r>
      <w:r>
        <w:rPr>
          <w:rFonts w:hint="eastAsia"/>
          <w:szCs w:val="32"/>
        </w:rPr>
        <w:t>采购人</w:t>
      </w:r>
      <w:r>
        <w:rPr>
          <w:szCs w:val="32"/>
        </w:rPr>
        <w:t>组织验收，按照验收标准验收合格，双方确认后，</w:t>
      </w:r>
      <w:r>
        <w:rPr>
          <w:rFonts w:hint="eastAsia"/>
          <w:szCs w:val="32"/>
        </w:rPr>
        <w:t>采购人向</w:t>
      </w:r>
      <w:r>
        <w:rPr>
          <w:szCs w:val="32"/>
        </w:rPr>
        <w:t>成交供应商支付合同总金额35%的款项。</w:t>
      </w:r>
    </w:p>
    <w:p>
      <w:pPr>
        <w:spacing w:line="360" w:lineRule="auto"/>
        <w:ind w:firstLine="420" w:firstLineChars="200"/>
        <w:rPr>
          <w:szCs w:val="32"/>
        </w:rPr>
      </w:pPr>
      <w:r>
        <w:rPr>
          <w:szCs w:val="32"/>
        </w:rPr>
        <w:t xml:space="preserve">4. </w:t>
      </w:r>
      <w:r>
        <w:rPr>
          <w:rFonts w:hint="eastAsia"/>
          <w:szCs w:val="32"/>
        </w:rPr>
        <w:t>成交</w:t>
      </w:r>
      <w:r>
        <w:rPr>
          <w:szCs w:val="32"/>
        </w:rPr>
        <w:t>供应商完成约定工作量100%时，自检合格，</w:t>
      </w:r>
      <w:r>
        <w:rPr>
          <w:rFonts w:hint="eastAsia"/>
          <w:szCs w:val="32"/>
        </w:rPr>
        <w:t>采购人</w:t>
      </w:r>
      <w:r>
        <w:rPr>
          <w:szCs w:val="32"/>
        </w:rPr>
        <w:t>组织最终验收，按照验收标准验收合格，双方确认后，</w:t>
      </w:r>
      <w:r>
        <w:rPr>
          <w:rFonts w:hint="eastAsia"/>
          <w:szCs w:val="32"/>
        </w:rPr>
        <w:t>采购人向</w:t>
      </w:r>
      <w:r>
        <w:rPr>
          <w:szCs w:val="32"/>
        </w:rPr>
        <w:t>成交供应商支付合同剩余的全部款项（以实际工作量结算）。</w:t>
      </w:r>
    </w:p>
    <w:p>
      <w:pPr>
        <w:spacing w:line="360" w:lineRule="auto"/>
        <w:ind w:firstLine="420" w:firstLineChars="200"/>
        <w:rPr>
          <w:b/>
          <w:bCs/>
          <w:szCs w:val="32"/>
        </w:rPr>
      </w:pPr>
      <w:r>
        <w:rPr>
          <w:b/>
          <w:bCs/>
          <w:szCs w:val="32"/>
        </w:rPr>
        <w:t>（五）项目验收</w:t>
      </w:r>
    </w:p>
    <w:p>
      <w:pPr>
        <w:spacing w:line="360" w:lineRule="auto"/>
        <w:ind w:firstLine="420" w:firstLineChars="200"/>
        <w:rPr>
          <w:szCs w:val="32"/>
        </w:rPr>
      </w:pPr>
      <w:r>
        <w:rPr>
          <w:szCs w:val="32"/>
        </w:rPr>
        <w:t>1. 验收时技术标准：</w:t>
      </w:r>
    </w:p>
    <w:p>
      <w:pPr>
        <w:spacing w:line="360" w:lineRule="auto"/>
        <w:ind w:firstLine="420" w:firstLineChars="200"/>
        <w:rPr>
          <w:szCs w:val="32"/>
        </w:rPr>
      </w:pPr>
      <w:r>
        <w:rPr>
          <w:rFonts w:hint="eastAsia"/>
          <w:szCs w:val="32"/>
        </w:rPr>
        <w:t>⑴</w:t>
      </w:r>
      <w:r>
        <w:rPr>
          <w:szCs w:val="32"/>
        </w:rPr>
        <w:t>档案装订还原：检查所有档案的装订还原情况，差错率≤1‰；档案原始材料：100%不缺失。</w:t>
      </w:r>
    </w:p>
    <w:p>
      <w:pPr>
        <w:spacing w:line="360" w:lineRule="auto"/>
        <w:ind w:firstLine="420" w:firstLineChars="200"/>
        <w:rPr>
          <w:szCs w:val="32"/>
        </w:rPr>
      </w:pPr>
      <w:r>
        <w:rPr>
          <w:rFonts w:hint="eastAsia"/>
          <w:szCs w:val="32"/>
        </w:rPr>
        <w:t>⑵</w:t>
      </w:r>
      <w:r>
        <w:rPr>
          <w:szCs w:val="32"/>
        </w:rPr>
        <w:t>扫描图像：漏扫率≤2‰，图像页面与档案实际页面相符，无内容丟失、无增加信息，无黑边、无污点；页面端正、无倾斜，无卷曲、无折痕；扫描图像的画幅数与应扫描档案的画幅数一致，无漏扫、重扫或多扫；不能一次性完成扫描的 A3（含）以上幅面档案，须釆取分幅扫描而后拼接的方法获得单一图像拼接后图像与档案原件在视觉上完全一致无拼接痕迹。</w:t>
      </w:r>
    </w:p>
    <w:p>
      <w:pPr>
        <w:spacing w:line="360" w:lineRule="auto"/>
        <w:ind w:firstLine="420" w:firstLineChars="200"/>
        <w:rPr>
          <w:szCs w:val="32"/>
        </w:rPr>
      </w:pPr>
      <w:r>
        <w:rPr>
          <w:rFonts w:hint="eastAsia"/>
          <w:szCs w:val="32"/>
        </w:rPr>
        <w:t>⑶</w:t>
      </w:r>
      <w:r>
        <w:rPr>
          <w:szCs w:val="32"/>
        </w:rPr>
        <w:t>目录著录：目录核对、著录、完善、打印（含装订）正确率100%，其余字段录入错误率≤5‰，目录打印格式、内容准确无误。</w:t>
      </w:r>
    </w:p>
    <w:p>
      <w:pPr>
        <w:spacing w:line="360" w:lineRule="auto"/>
        <w:ind w:firstLine="420" w:firstLineChars="200"/>
        <w:rPr>
          <w:szCs w:val="32"/>
        </w:rPr>
      </w:pPr>
      <w:r>
        <w:rPr>
          <w:rFonts w:hint="eastAsia"/>
          <w:szCs w:val="32"/>
        </w:rPr>
        <w:t>⑷</w:t>
      </w:r>
      <w:r>
        <w:rPr>
          <w:szCs w:val="32"/>
        </w:rPr>
        <w:t>条目与图像挂接：挂接正确率 100%，挂接的电子文件必须与条目一一对应，如同一条目下文件本身存在多页情况，同一个电子文件超过10页的需分开成多个文件挂接，每个文件不超过20页。</w:t>
      </w:r>
    </w:p>
    <w:p>
      <w:pPr>
        <w:spacing w:line="360" w:lineRule="auto"/>
        <w:ind w:firstLine="420" w:firstLineChars="200"/>
        <w:rPr>
          <w:szCs w:val="32"/>
        </w:rPr>
      </w:pPr>
      <w:r>
        <w:rPr>
          <w:rFonts w:hint="eastAsia"/>
          <w:szCs w:val="32"/>
        </w:rPr>
        <w:t>⑸</w:t>
      </w:r>
      <w:r>
        <w:rPr>
          <w:szCs w:val="32"/>
        </w:rPr>
        <w:t>加工后档案、归退档案验收、数据备份硬盘验收合格率为100%时为“合格”，否则为“不合格”。图像文件、数据挂接的验收错误率未大于1‰时为“合格”，否则为“不合格”。</w:t>
      </w:r>
    </w:p>
    <w:p>
      <w:pPr>
        <w:spacing w:line="360" w:lineRule="auto"/>
        <w:ind w:firstLine="420" w:firstLineChars="200"/>
        <w:rPr>
          <w:szCs w:val="32"/>
        </w:rPr>
      </w:pPr>
      <w:r>
        <w:rPr>
          <w:rFonts w:hint="eastAsia"/>
          <w:szCs w:val="32"/>
        </w:rPr>
        <w:t>⑹</w:t>
      </w:r>
      <w:r>
        <w:rPr>
          <w:szCs w:val="32"/>
        </w:rPr>
        <w:t>验收错误率计算：错误数÷实际抽检图像画幅数（档案页数）X 100%＝错误率。</w:t>
      </w:r>
    </w:p>
    <w:p>
      <w:pPr>
        <w:spacing w:line="360" w:lineRule="auto"/>
        <w:ind w:firstLine="420" w:firstLineChars="200"/>
        <w:rPr>
          <w:szCs w:val="32"/>
        </w:rPr>
      </w:pPr>
      <w:r>
        <w:rPr>
          <w:rFonts w:hint="eastAsia"/>
          <w:szCs w:val="32"/>
        </w:rPr>
        <w:t>⑺</w:t>
      </w:r>
      <w:r>
        <w:rPr>
          <w:szCs w:val="32"/>
        </w:rPr>
        <w:t>验收时作好记录，填写验收报告，项目相关资料及扫描数据备份硬盘（含扫描图像）一式三份移交采购人。</w:t>
      </w:r>
    </w:p>
    <w:p>
      <w:pPr>
        <w:spacing w:line="360" w:lineRule="auto"/>
        <w:ind w:firstLine="420" w:firstLineChars="200"/>
        <w:rPr>
          <w:szCs w:val="32"/>
        </w:rPr>
      </w:pPr>
      <w:r>
        <w:rPr>
          <w:szCs w:val="32"/>
        </w:rPr>
        <w:t>2. 验收时乙方以导入到江汉大学干部人事档案管理系统中的数据为准。</w:t>
      </w:r>
    </w:p>
    <w:p>
      <w:pPr>
        <w:spacing w:line="360" w:lineRule="auto"/>
        <w:ind w:firstLine="420" w:firstLineChars="200"/>
        <w:rPr>
          <w:szCs w:val="32"/>
        </w:rPr>
      </w:pPr>
      <w:r>
        <w:rPr>
          <w:szCs w:val="32"/>
        </w:rPr>
        <w:t>3. 验收后乙方不得保存采购人任何数据。验收合格后采购人出具验收报告。</w:t>
      </w:r>
    </w:p>
    <w:p>
      <w:pPr>
        <w:spacing w:line="360" w:lineRule="auto"/>
        <w:ind w:firstLine="420" w:firstLineChars="200"/>
        <w:rPr>
          <w:szCs w:val="32"/>
        </w:rPr>
      </w:pPr>
      <w:r>
        <w:rPr>
          <w:szCs w:val="32"/>
        </w:rPr>
        <w:t>4. 验收要求</w:t>
      </w:r>
    </w:p>
    <w:p>
      <w:pPr>
        <w:spacing w:line="360" w:lineRule="auto"/>
        <w:ind w:firstLine="420" w:firstLineChars="200"/>
        <w:rPr>
          <w:szCs w:val="32"/>
        </w:rPr>
      </w:pPr>
      <w:r>
        <w:rPr>
          <w:szCs w:val="32"/>
        </w:rPr>
        <w:t>供应商在项目完成后，向采购人提出验收申请，采购人在接到验收申请后的十五个工作日内组织验收，并在验收完成后的一周内给予认可或提出修改意见。供应商按要求整改，并承担由自身原因造成返工的费用。</w:t>
      </w:r>
    </w:p>
    <w:p>
      <w:pPr>
        <w:spacing w:line="360" w:lineRule="auto"/>
        <w:ind w:firstLine="420" w:firstLineChars="200"/>
        <w:rPr>
          <w:szCs w:val="32"/>
        </w:rPr>
      </w:pPr>
      <w:r>
        <w:rPr>
          <w:rFonts w:hint="eastAsia"/>
          <w:szCs w:val="32"/>
        </w:rPr>
        <w:t>⑴</w:t>
      </w:r>
      <w:r>
        <w:rPr>
          <w:szCs w:val="32"/>
        </w:rPr>
        <w:t>采购人对供应商完成数字化数据进行分批验收。数据验收以抽检方式进行。供应商提交验收的数据不论涉及验收标准哪一条，不合格的，全部发回供应商全面自检，采购人验收记录不向供应商公开，待验收通过后，采购人公开验收记录。在退回自检期间，采购人将不再向供应商提供加工的档案。</w:t>
      </w:r>
    </w:p>
    <w:p>
      <w:pPr>
        <w:spacing w:line="360" w:lineRule="auto"/>
        <w:ind w:firstLine="420" w:firstLineChars="200"/>
        <w:rPr>
          <w:szCs w:val="32"/>
        </w:rPr>
      </w:pPr>
      <w:r>
        <w:rPr>
          <w:rFonts w:hint="eastAsia"/>
          <w:szCs w:val="32"/>
        </w:rPr>
        <w:t>⑵</w:t>
      </w:r>
      <w:r>
        <w:rPr>
          <w:szCs w:val="32"/>
        </w:rPr>
        <w:t>采购人在验收中检出的错误，供应商应及时、无偿予以纠正并再提交采购人验收。</w:t>
      </w:r>
    </w:p>
    <w:p>
      <w:pPr>
        <w:spacing w:line="360" w:lineRule="auto"/>
        <w:ind w:firstLine="420" w:firstLineChars="200"/>
        <w:rPr>
          <w:szCs w:val="32"/>
        </w:rPr>
      </w:pPr>
      <w:r>
        <w:rPr>
          <w:rFonts w:hint="eastAsia"/>
          <w:szCs w:val="32"/>
        </w:rPr>
        <w:t>⑶</w:t>
      </w:r>
      <w:r>
        <w:rPr>
          <w:szCs w:val="32"/>
        </w:rPr>
        <w:t>如全部档案完成后不能通过验收的，视为供应商违约。每逾期一天，供应商应按合同总价的1%向采购人支付违约金。最高罚款为合同总价的10%。因延期产生的所有费用由供应商承担。供应商整改时间超过15天，采购人有权终止执行合同，不予支付合同金额，并没收其履约保证金。</w:t>
      </w:r>
    </w:p>
    <w:p>
      <w:pPr>
        <w:spacing w:line="360" w:lineRule="auto"/>
        <w:ind w:firstLine="420" w:firstLineChars="200"/>
        <w:rPr>
          <w:b/>
          <w:bCs/>
          <w:szCs w:val="32"/>
        </w:rPr>
      </w:pPr>
      <w:r>
        <w:rPr>
          <w:b/>
          <w:bCs/>
          <w:szCs w:val="32"/>
        </w:rPr>
        <w:t>（六）安全保密要求</w:t>
      </w:r>
    </w:p>
    <w:p>
      <w:pPr>
        <w:spacing w:line="360" w:lineRule="auto"/>
        <w:ind w:firstLine="420" w:firstLineChars="200"/>
        <w:rPr>
          <w:szCs w:val="32"/>
        </w:rPr>
      </w:pPr>
      <w:r>
        <w:rPr>
          <w:szCs w:val="32"/>
        </w:rPr>
        <w:t>1. 供应商需提供保证档案实体和档案信息的安全的具体措施和承诺。针对项目的安全实施，供应商提供项目执行过程中出现紧急情况的应急处理方案和保密措施。</w:t>
      </w:r>
    </w:p>
    <w:p>
      <w:pPr>
        <w:spacing w:line="360" w:lineRule="auto"/>
        <w:ind w:firstLine="420" w:firstLineChars="200"/>
        <w:rPr>
          <w:szCs w:val="32"/>
        </w:rPr>
      </w:pPr>
      <w:r>
        <w:rPr>
          <w:szCs w:val="32"/>
        </w:rPr>
        <w:t>2. 需签订《档案数字化委托加工保密协议》，如故意或者过失泄露秘密，除承担违约责任外，还应承担相应的法律责任。</w:t>
      </w:r>
    </w:p>
    <w:p>
      <w:pPr>
        <w:spacing w:line="360" w:lineRule="auto"/>
        <w:ind w:firstLine="420" w:firstLineChars="200"/>
        <w:rPr>
          <w:szCs w:val="32"/>
        </w:rPr>
      </w:pPr>
      <w:r>
        <w:rPr>
          <w:szCs w:val="32"/>
        </w:rPr>
        <w:t>3. 不得将采购方的干部信息、档案秘密以任何方式向外泄露，不得以任何方式（纸质、硬盘、磁盘、光盘、软盘等）将采购方档案资料带离，不得擅自将采购方干部信息数据存在其他设备上。</w:t>
      </w:r>
    </w:p>
    <w:p>
      <w:pPr>
        <w:spacing w:line="360" w:lineRule="auto"/>
        <w:ind w:firstLine="420" w:firstLineChars="200"/>
        <w:rPr>
          <w:szCs w:val="32"/>
        </w:rPr>
      </w:pPr>
      <w:r>
        <w:rPr>
          <w:szCs w:val="32"/>
        </w:rPr>
        <w:t>4. 应当加强对参与该项目的所有人员的保密教育，项目结束后，要进行必要的脱密期管理。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黑体">
    <w:altName w:val="汉仪中黑KW"/>
    <w:panose1 w:val="02010609060101010101"/>
    <w:charset w:val="00"/>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楷体_GB2312">
    <w:altName w:val="汉仪楷体KW"/>
    <w:panose1 w:val="00000000000000000000"/>
    <w:charset w:val="00"/>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altName w:val="汉仪仿宋KW"/>
    <w:panose1 w:val="00000000000000000000"/>
    <w:charset w:val="00"/>
    <w:family w:val="modern"/>
    <w:pitch w:val="default"/>
    <w:sig w:usb0="00000000" w:usb1="00000000" w:usb2="00000000" w:usb3="00000000" w:csb0="00040000" w:csb1="00000000"/>
  </w:font>
  <w:font w:name="MS Shell Dlg">
    <w:altName w:val="苹方-简"/>
    <w:panose1 w:val="020B0604020202020204"/>
    <w:charset w:val="00"/>
    <w:family w:val="swiss"/>
    <w:pitch w:val="default"/>
    <w:sig w:usb0="00000000" w:usb1="00000000" w:usb2="00000008" w:usb3="00000000" w:csb0="000101FF" w:csb1="00000000"/>
  </w:font>
  <w:font w:name="MingLiU">
    <w:altName w:val="宋体-繁"/>
    <w:panose1 w:val="02020509000000000000"/>
    <w:charset w:val="00"/>
    <w:family w:val="modern"/>
    <w:pitch w:val="default"/>
    <w:sig w:usb0="00000000" w:usb1="00000000" w:usb2="00000016" w:usb3="00000000" w:csb0="00100001" w:csb1="00000000"/>
  </w:font>
  <w:font w:name="Verdana">
    <w:panose1 w:val="020B0604030504040204"/>
    <w:charset w:val="00"/>
    <w:family w:val="swiss"/>
    <w:pitch w:val="default"/>
    <w:sig w:usb0="A10006FF" w:usb1="4000205B" w:usb2="00000010" w:usb3="00000000" w:csb0="2000019F" w:csb1="00000000"/>
  </w:font>
  <w:font w:name="ˎ̥">
    <w:altName w:val="苹方-简"/>
    <w:panose1 w:val="00000000000000000000"/>
    <w:charset w:val="00"/>
    <w:family w:val="roman"/>
    <w:pitch w:val="default"/>
    <w:sig w:usb0="00000000" w:usb1="00000000" w:usb2="00000000" w:usb3="00000000" w:csb0="00040001" w:csb1="00000000"/>
  </w:font>
  <w:font w:name="Consolas">
    <w:altName w:val="苹方-简"/>
    <w:panose1 w:val="020B0609020204030204"/>
    <w:charset w:val="00"/>
    <w:family w:val="modern"/>
    <w:pitch w:val="default"/>
    <w:sig w:usb0="00000000" w:usb1="00000000" w:usb2="00000009" w:usb3="00000000" w:csb0="0000019F" w:csb1="00000000"/>
  </w:font>
  <w:font w:name="微软雅黑">
    <w:altName w:val="汉仪旗黑KW"/>
    <w:panose1 w:val="00000000000000000000"/>
    <w:charset w:val="00"/>
    <w:family w:val="swiss"/>
    <w:pitch w:val="default"/>
    <w:sig w:usb0="00000000" w:usb1="00000000" w:usb2="00000016" w:usb3="00000000" w:csb0="0004001F" w:csb1="00000000"/>
  </w:font>
  <w:font w:name="font-weight : 400">
    <w:altName w:val="苹方-简"/>
    <w:panose1 w:val="00000000000000000000"/>
    <w:charset w:val="00"/>
    <w:family w:val="auto"/>
    <w:pitch w:val="default"/>
    <w:sig w:usb0="00000000" w:usb1="00000000" w:usb2="00000000"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汉仪旗黑KW">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7618"/>
    <w:multiLevelType w:val="singleLevel"/>
    <w:tmpl w:val="4508761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3A80E"/>
    <w:rsid w:val="7BF3D13E"/>
    <w:rsid w:val="7F73A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2021-05-24T19:46:00Z</dcterms:created>
  <dc:creator>yayaya</dc:creator>
  <cp:lastModifiedBy>yayaya</cp:lastModifiedBy>
  <dcterms:modified xsi:type="dcterms:W3CDTF">2021-05-24T12:48:29Z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