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line="360" w:lineRule="auto"/>
        <w:ind w:leftChars="0"/>
        <w:jc w:val="center"/>
        <w:outlineLvl w:val="0"/>
        <w:rPr>
          <w:rFonts w:ascii="宋体" w:hAnsi="宋体"/>
          <w:b/>
          <w:color w:val="auto"/>
          <w:sz w:val="36"/>
          <w:szCs w:val="36"/>
        </w:rPr>
      </w:pPr>
      <w:bookmarkStart w:id="0" w:name="_Toc18375"/>
      <w:bookmarkStart w:id="10" w:name="_GoBack"/>
      <w:r>
        <w:rPr>
          <w:rFonts w:hint="eastAsia" w:ascii="宋体" w:hAnsi="宋体"/>
          <w:b/>
          <w:color w:val="auto"/>
          <w:sz w:val="36"/>
          <w:szCs w:val="36"/>
        </w:rPr>
        <w:t>采购需求</w:t>
      </w:r>
      <w:bookmarkEnd w:id="0"/>
    </w:p>
    <w:bookmarkEnd w:id="10"/>
    <w:p>
      <w:pPr>
        <w:keepNext w:val="0"/>
        <w:keepLines w:val="0"/>
        <w:pageBreakBefore w:val="0"/>
        <w:numPr>
          <w:ilvl w:val="0"/>
          <w:numId w:val="1"/>
        </w:numPr>
        <w:kinsoku/>
        <w:wordWrap/>
        <w:overflowPunct w:val="0"/>
        <w:topLinePunct w:val="0"/>
        <w:autoSpaceDE/>
        <w:autoSpaceDN/>
        <w:bidi w:val="0"/>
        <w:adjustRightInd/>
        <w:snapToGrid/>
        <w:spacing w:line="360" w:lineRule="auto"/>
        <w:ind w:firstLine="422" w:firstLineChars="200"/>
        <w:textAlignment w:val="auto"/>
        <w:outlineLvl w:val="1"/>
        <w:rPr>
          <w:rFonts w:ascii="宋体" w:hAnsi="宋体" w:cs="宋体"/>
          <w:b/>
          <w:bCs/>
          <w:color w:val="auto"/>
          <w:sz w:val="21"/>
          <w:szCs w:val="21"/>
        </w:rPr>
      </w:pPr>
      <w:r>
        <w:rPr>
          <w:rFonts w:hint="eastAsia" w:ascii="宋体" w:hAnsi="宋体" w:cs="宋体"/>
          <w:b/>
          <w:bCs/>
          <w:color w:val="auto"/>
          <w:sz w:val="21"/>
          <w:szCs w:val="21"/>
          <w:lang w:val="en-US" w:eastAsia="zh-CN"/>
        </w:rPr>
        <w:t>项目基本情况</w:t>
      </w:r>
    </w:p>
    <w:p>
      <w:pPr>
        <w:keepNext w:val="0"/>
        <w:keepLines w:val="0"/>
        <w:pageBreakBefore w:val="0"/>
        <w:numPr>
          <w:ilvl w:val="0"/>
          <w:numId w:val="2"/>
        </w:numPr>
        <w:kinsoku/>
        <w:wordWrap/>
        <w:topLinePunct w:val="0"/>
        <w:autoSpaceDE/>
        <w:autoSpaceDN/>
        <w:bidi w:val="0"/>
        <w:adjustRightInd/>
        <w:snapToGrid/>
        <w:spacing w:line="360" w:lineRule="auto"/>
        <w:ind w:left="0" w:leftChars="0" w:firstLine="420" w:firstLineChars="200"/>
        <w:textAlignment w:val="auto"/>
        <w:rPr>
          <w:rFonts w:ascii="宋体" w:hAnsi="宋体" w:cs="宋体"/>
          <w:color w:val="auto"/>
          <w:sz w:val="21"/>
          <w:szCs w:val="21"/>
        </w:rPr>
      </w:pPr>
      <w:r>
        <w:rPr>
          <w:rFonts w:hint="eastAsia" w:ascii="宋体" w:hAnsi="宋体" w:cs="宋体"/>
          <w:color w:val="auto"/>
          <w:sz w:val="21"/>
          <w:szCs w:val="21"/>
        </w:rPr>
        <w:t>项目名称：武汉纺织大学先进纺纱织造及清洁生产国家地方联合实验室建设项目勘察、初步设计招标</w:t>
      </w:r>
    </w:p>
    <w:p>
      <w:pPr>
        <w:keepNext w:val="0"/>
        <w:keepLines w:val="0"/>
        <w:pageBreakBefore w:val="0"/>
        <w:numPr>
          <w:ilvl w:val="0"/>
          <w:numId w:val="2"/>
        </w:numPr>
        <w:kinsoku/>
        <w:wordWrap/>
        <w:topLinePunct w:val="0"/>
        <w:autoSpaceDE/>
        <w:autoSpaceDN/>
        <w:bidi w:val="0"/>
        <w:adjustRightInd/>
        <w:snapToGrid/>
        <w:spacing w:line="360" w:lineRule="auto"/>
        <w:ind w:left="0" w:leftChars="0" w:firstLine="420" w:firstLineChars="200"/>
        <w:textAlignment w:val="auto"/>
        <w:rPr>
          <w:rFonts w:ascii="宋体" w:hAnsi="宋体" w:cs="宋体"/>
          <w:color w:val="auto"/>
          <w:sz w:val="21"/>
          <w:szCs w:val="21"/>
        </w:rPr>
      </w:pPr>
      <w:r>
        <w:rPr>
          <w:rFonts w:hint="eastAsia" w:ascii="宋体" w:hAnsi="宋体" w:cs="宋体"/>
          <w:color w:val="auto"/>
          <w:sz w:val="21"/>
          <w:szCs w:val="21"/>
        </w:rPr>
        <w:t>建设地点：武汉市江夏区阳光大道1号</w:t>
      </w:r>
    </w:p>
    <w:p>
      <w:pPr>
        <w:keepNext w:val="0"/>
        <w:keepLines w:val="0"/>
        <w:pageBreakBefore w:val="0"/>
        <w:numPr>
          <w:ilvl w:val="0"/>
          <w:numId w:val="2"/>
        </w:numPr>
        <w:kinsoku/>
        <w:wordWrap/>
        <w:topLinePunct w:val="0"/>
        <w:autoSpaceDE/>
        <w:autoSpaceDN/>
        <w:bidi w:val="0"/>
        <w:adjustRightInd/>
        <w:snapToGrid/>
        <w:spacing w:line="360" w:lineRule="auto"/>
        <w:ind w:left="0" w:leftChars="0" w:firstLine="420" w:firstLineChars="200"/>
        <w:textAlignment w:val="auto"/>
        <w:rPr>
          <w:rFonts w:ascii="宋体" w:hAnsi="宋体" w:cs="宋体"/>
          <w:color w:val="auto"/>
          <w:sz w:val="21"/>
          <w:szCs w:val="21"/>
        </w:rPr>
      </w:pPr>
      <w:r>
        <w:rPr>
          <w:rFonts w:hint="eastAsia" w:ascii="宋体" w:hAnsi="宋体" w:cs="宋体"/>
          <w:color w:val="auto"/>
          <w:sz w:val="21"/>
          <w:szCs w:val="21"/>
        </w:rPr>
        <w:t>建设内容及规模：本项目建设用地面积约47000㎡，总建筑面积约39746㎡,地上建筑面积约35000㎡，地下人防建筑面积约4746㎡。建设内容为一栋约13000㎡的国家工程实验室大楼（配建780㎡人防工程）、一栋约6000㎡的中试中心大楼、一栋约16000㎡产业孵化大楼（配建地下3966㎡人防工程），另配套建设给排水工程、电气工程、智能化工程、消防工程、通风工程、电梯工程、充电桩以及室外道路、景观、与现有雨水、污水（含实验室化学废水）以及强弱电的对接等。</w:t>
      </w:r>
    </w:p>
    <w:p>
      <w:pPr>
        <w:keepNext w:val="0"/>
        <w:keepLines w:val="0"/>
        <w:pageBreakBefore w:val="0"/>
        <w:numPr>
          <w:ilvl w:val="0"/>
          <w:numId w:val="1"/>
        </w:numPr>
        <w:kinsoku/>
        <w:wordWrap/>
        <w:overflowPunct w:val="0"/>
        <w:topLinePunct w:val="0"/>
        <w:autoSpaceDE/>
        <w:autoSpaceDN/>
        <w:bidi w:val="0"/>
        <w:adjustRightInd/>
        <w:snapToGrid/>
        <w:spacing w:line="360" w:lineRule="auto"/>
        <w:ind w:firstLine="422" w:firstLineChars="200"/>
        <w:textAlignment w:val="auto"/>
        <w:outlineLvl w:val="1"/>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技术要求</w:t>
      </w:r>
    </w:p>
    <w:p>
      <w:pPr>
        <w:keepNext w:val="0"/>
        <w:keepLines w:val="0"/>
        <w:pageBreakBefore w:val="0"/>
        <w:numPr>
          <w:ilvl w:val="0"/>
          <w:numId w:val="3"/>
        </w:numPr>
        <w:kinsoku/>
        <w:wordWrap/>
        <w:topLinePunct w:val="0"/>
        <w:autoSpaceDE/>
        <w:autoSpaceDN/>
        <w:bidi w:val="0"/>
        <w:adjustRightInd/>
        <w:snapToGrid/>
        <w:spacing w:line="360" w:lineRule="auto"/>
        <w:ind w:left="0" w:leftChars="0" w:firstLine="420" w:firstLineChars="200"/>
        <w:textAlignment w:val="auto"/>
        <w:rPr>
          <w:rFonts w:ascii="宋体" w:hAnsi="宋体" w:cs="宋体"/>
          <w:color w:val="auto"/>
          <w:sz w:val="21"/>
          <w:szCs w:val="21"/>
        </w:rPr>
      </w:pPr>
      <w:r>
        <w:rPr>
          <w:rFonts w:hint="eastAsia" w:ascii="宋体" w:hAnsi="宋体" w:cs="宋体"/>
          <w:color w:val="auto"/>
          <w:sz w:val="21"/>
          <w:szCs w:val="21"/>
        </w:rPr>
        <w:t>招标范围及内容：</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勘察部分:符合国家、地方现行相关规定的工程技术质量标准，完成满足本项目建设范围内所有的初步设计、施工图设计要求的初勘、详勘工作等；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设计部分：按国家、地方、行业现行规范要求完成满足符合该项目技术要求的设计工作，包括但不限于：方案优化设计、初步设计(含概算编制）及后续服务工作（含各阶段的报批、报建以及配合施工图纸设计、图审和工程建设过程中配合招标人解决现场设计遗漏、施工存在难度问题等配合工作）等；设计必须满足招标人对工程使用功能的要求；其初步设计（含概算编制）必须经招标人核准后方可使用，达到招标单位（或招标单位委托第三方）评审合理要求；确保其初步设计取得政府主管部门批复，最终达到EPC招标采购、取得工程规划许可证要求。</w:t>
      </w:r>
    </w:p>
    <w:p>
      <w:pPr>
        <w:keepNext w:val="0"/>
        <w:keepLines w:val="0"/>
        <w:pageBreakBefore w:val="0"/>
        <w:widowControl/>
        <w:kinsoku/>
        <w:wordWrap/>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color w:val="auto"/>
          <w:kern w:val="2"/>
          <w:sz w:val="21"/>
          <w:szCs w:val="21"/>
          <w:lang w:val="en-US" w:eastAsia="zh-CN" w:bidi="ar-SA"/>
        </w:rPr>
      </w:pPr>
      <w:r>
        <w:rPr>
          <w:rFonts w:hint="eastAsia" w:ascii="宋体" w:hAnsi="宋体" w:cs="宋体"/>
          <w:color w:val="auto"/>
          <w:sz w:val="21"/>
          <w:szCs w:val="21"/>
        </w:rPr>
        <w:t>勘察设计成果</w:t>
      </w:r>
      <w:r>
        <w:rPr>
          <w:rFonts w:hint="eastAsia" w:ascii="宋体" w:hAnsi="宋体" w:eastAsia="宋体" w:cs="Times New Roman"/>
          <w:color w:val="auto"/>
          <w:kern w:val="2"/>
          <w:sz w:val="21"/>
          <w:szCs w:val="21"/>
          <w:lang w:val="en-US" w:eastAsia="zh-CN" w:bidi="ar-SA"/>
        </w:rPr>
        <w:t>包括</w:t>
      </w:r>
      <w:r>
        <w:rPr>
          <w:rFonts w:hint="eastAsia" w:ascii="宋体" w:hAnsi="宋体" w:cs="Times New Roman"/>
          <w:color w:val="auto"/>
          <w:kern w:val="2"/>
          <w:sz w:val="21"/>
          <w:szCs w:val="21"/>
          <w:lang w:val="en-US" w:eastAsia="zh-CN" w:bidi="ar-SA"/>
        </w:rPr>
        <w:t>但不限于</w:t>
      </w:r>
      <w:r>
        <w:rPr>
          <w:rFonts w:hint="eastAsia" w:ascii="宋体" w:hAnsi="宋体" w:eastAsia="宋体" w:cs="Times New Roman"/>
          <w:color w:val="auto"/>
          <w:kern w:val="2"/>
          <w:sz w:val="21"/>
          <w:szCs w:val="21"/>
          <w:lang w:val="en-US" w:eastAsia="zh-CN" w:bidi="ar-SA"/>
        </w:rPr>
        <w:t>地勘初勘、详勘报告；初步设计图纸（含效果图、CAD电子文件等）、说明书（设计总说明书和各专业设计说明书）、主要工程量表、主要设备及材料表、概算书以及取得政府主管部门初设批复、工程规划许可证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 w:val="21"/>
          <w:szCs w:val="21"/>
        </w:rPr>
      </w:pPr>
      <w:r>
        <w:rPr>
          <w:rFonts w:hint="eastAsia" w:ascii="宋体" w:hAnsi="宋体" w:cs="宋体"/>
          <w:color w:val="auto"/>
          <w:sz w:val="21"/>
          <w:szCs w:val="21"/>
        </w:rPr>
        <w:t>本次招标不包含施工图设计。</w:t>
      </w:r>
    </w:p>
    <w:p>
      <w:pPr>
        <w:keepNext w:val="0"/>
        <w:keepLines w:val="0"/>
        <w:pageBreakBefore w:val="0"/>
        <w:numPr>
          <w:ilvl w:val="0"/>
          <w:numId w:val="1"/>
        </w:numPr>
        <w:kinsoku/>
        <w:wordWrap/>
        <w:overflowPunct w:val="0"/>
        <w:topLinePunct w:val="0"/>
        <w:autoSpaceDE/>
        <w:autoSpaceDN/>
        <w:bidi w:val="0"/>
        <w:adjustRightInd/>
        <w:snapToGrid/>
        <w:spacing w:line="360" w:lineRule="auto"/>
        <w:ind w:firstLine="422" w:firstLineChars="200"/>
        <w:textAlignment w:val="auto"/>
        <w:outlineLvl w:val="1"/>
        <w:rPr>
          <w:rFonts w:ascii="宋体" w:hAnsi="宋体" w:cs="宋体"/>
          <w:b/>
          <w:bCs/>
          <w:color w:val="auto"/>
          <w:sz w:val="21"/>
          <w:szCs w:val="21"/>
        </w:rPr>
      </w:pPr>
      <w:bookmarkStart w:id="1" w:name="_Toc24610"/>
      <w:r>
        <w:rPr>
          <w:rFonts w:hint="eastAsia" w:ascii="宋体" w:hAnsi="宋体" w:cs="宋体"/>
          <w:b/>
          <w:bCs/>
          <w:color w:val="auto"/>
          <w:sz w:val="21"/>
          <w:szCs w:val="21"/>
        </w:rPr>
        <w:t>商务要求</w:t>
      </w:r>
      <w:bookmarkEnd w:id="1"/>
    </w:p>
    <w:p>
      <w:pPr>
        <w:keepNext w:val="0"/>
        <w:keepLines w:val="0"/>
        <w:pageBreakBefore w:val="0"/>
        <w:numPr>
          <w:ilvl w:val="0"/>
          <w:numId w:val="5"/>
        </w:numPr>
        <w:kinsoku/>
        <w:wordWrap/>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rPr>
      </w:pPr>
      <w:bookmarkStart w:id="2" w:name="_Toc7617"/>
      <w:r>
        <w:rPr>
          <w:rFonts w:hint="eastAsia" w:ascii="宋体" w:hAnsi="宋体" w:cs="宋体"/>
          <w:color w:val="auto"/>
          <w:sz w:val="21"/>
          <w:szCs w:val="21"/>
        </w:rPr>
        <w:t>预计使用时间：2021年</w:t>
      </w:r>
      <w:r>
        <w:rPr>
          <w:rFonts w:hint="eastAsia" w:ascii="宋体" w:hAnsi="宋体" w:cs="宋体"/>
          <w:color w:val="auto"/>
          <w:sz w:val="21"/>
          <w:szCs w:val="21"/>
          <w:lang w:val="en-US" w:eastAsia="zh-CN"/>
        </w:rPr>
        <w:t>4</w:t>
      </w:r>
      <w:r>
        <w:rPr>
          <w:rFonts w:hint="eastAsia" w:ascii="宋体" w:hAnsi="宋体" w:cs="宋体"/>
          <w:color w:val="auto"/>
          <w:sz w:val="21"/>
          <w:szCs w:val="21"/>
        </w:rPr>
        <w:t>月</w:t>
      </w:r>
      <w:r>
        <w:rPr>
          <w:rFonts w:hint="eastAsia" w:ascii="宋体" w:hAnsi="宋体" w:cs="宋体"/>
          <w:color w:val="auto"/>
          <w:sz w:val="21"/>
          <w:szCs w:val="21"/>
          <w:lang w:val="en-US" w:eastAsia="zh-CN"/>
        </w:rPr>
        <w:t>1</w:t>
      </w:r>
      <w:r>
        <w:rPr>
          <w:rFonts w:hint="eastAsia" w:ascii="宋体" w:hAnsi="宋体" w:cs="宋体"/>
          <w:color w:val="auto"/>
          <w:sz w:val="21"/>
          <w:szCs w:val="21"/>
        </w:rPr>
        <w:t>1日；</w:t>
      </w:r>
    </w:p>
    <w:p>
      <w:pPr>
        <w:keepNext w:val="0"/>
        <w:keepLines w:val="0"/>
        <w:pageBreakBefore w:val="0"/>
        <w:numPr>
          <w:ilvl w:val="0"/>
          <w:numId w:val="5"/>
        </w:numPr>
        <w:kinsoku/>
        <w:wordWrap/>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设计时限：合同签订后18</w:t>
      </w:r>
      <w:r>
        <w:rPr>
          <w:rFonts w:hint="eastAsia" w:ascii="宋体" w:hAnsi="宋体" w:cs="宋体"/>
          <w:color w:val="auto"/>
          <w:sz w:val="21"/>
          <w:szCs w:val="21"/>
          <w:lang w:val="en-US" w:eastAsia="zh-CN"/>
        </w:rPr>
        <w:t>日历天</w:t>
      </w:r>
      <w:r>
        <w:rPr>
          <w:rFonts w:hint="eastAsia" w:ascii="宋体" w:hAnsi="宋体" w:cs="宋体"/>
          <w:color w:val="auto"/>
          <w:sz w:val="21"/>
          <w:szCs w:val="21"/>
        </w:rPr>
        <w:t>内提交初步设计文件的初步成果（包含概算），初步成果经招标人审核后3</w:t>
      </w:r>
      <w:r>
        <w:rPr>
          <w:rFonts w:hint="eastAsia" w:ascii="宋体" w:hAnsi="宋体" w:cs="宋体"/>
          <w:color w:val="auto"/>
          <w:sz w:val="21"/>
          <w:szCs w:val="21"/>
          <w:lang w:val="en-US" w:eastAsia="zh-CN"/>
        </w:rPr>
        <w:t>日历天</w:t>
      </w:r>
      <w:r>
        <w:rPr>
          <w:rFonts w:hint="eastAsia" w:ascii="宋体" w:hAnsi="宋体" w:cs="宋体"/>
          <w:color w:val="auto"/>
          <w:sz w:val="21"/>
          <w:szCs w:val="21"/>
        </w:rPr>
        <w:t>内提交修改后的初步设计，初步设计送审稿审查通过后9</w:t>
      </w:r>
      <w:r>
        <w:rPr>
          <w:rFonts w:hint="eastAsia" w:ascii="宋体" w:hAnsi="宋体" w:cs="宋体"/>
          <w:color w:val="auto"/>
          <w:sz w:val="21"/>
          <w:szCs w:val="21"/>
          <w:lang w:val="en-US" w:eastAsia="zh-CN"/>
        </w:rPr>
        <w:t>日历天</w:t>
      </w:r>
      <w:r>
        <w:rPr>
          <w:rFonts w:hint="eastAsia" w:ascii="宋体" w:hAnsi="宋体" w:cs="宋体"/>
          <w:color w:val="auto"/>
          <w:sz w:val="21"/>
          <w:szCs w:val="21"/>
        </w:rPr>
        <w:t>内提交正式初步设计文件及概算书，并按要求配合招标人向政府职能部门办理有关初步设计审批手续。总的进度要求以满足招标人要求为原则，招标人保留工期调整的权利，工期调整后</w:t>
      </w:r>
      <w:r>
        <w:rPr>
          <w:rFonts w:hint="eastAsia" w:ascii="宋体" w:hAnsi="宋体" w:cs="宋体"/>
          <w:color w:val="auto"/>
          <w:sz w:val="21"/>
          <w:szCs w:val="21"/>
          <w:lang w:val="en-US" w:eastAsia="zh-CN"/>
        </w:rPr>
        <w:t>中标人</w:t>
      </w:r>
      <w:r>
        <w:rPr>
          <w:rFonts w:hint="eastAsia" w:ascii="宋体" w:hAnsi="宋体" w:cs="宋体"/>
          <w:color w:val="auto"/>
          <w:sz w:val="21"/>
          <w:szCs w:val="21"/>
        </w:rPr>
        <w:t>不得以任何理由增加费用</w:t>
      </w:r>
      <w:r>
        <w:rPr>
          <w:rFonts w:hint="eastAsia" w:ascii="宋体" w:hAnsi="宋体" w:cs="宋体"/>
          <w:color w:val="auto"/>
          <w:sz w:val="21"/>
          <w:szCs w:val="21"/>
          <w:lang w:eastAsia="zh-CN"/>
        </w:rPr>
        <w:t>；</w:t>
      </w:r>
    </w:p>
    <w:p>
      <w:pPr>
        <w:keepNext w:val="0"/>
        <w:keepLines w:val="0"/>
        <w:pageBreakBefore w:val="0"/>
        <w:numPr>
          <w:ilvl w:val="0"/>
          <w:numId w:val="5"/>
        </w:numPr>
        <w:kinsoku/>
        <w:wordWrap/>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勘察时限：勘察工作分两阶段。一是初步勘察为初步设计提供资料</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二是施工图设计阶段根据设计需要和平面布置提供详细勘察资料。如果需要施工过程还应补充勘察提供技术支持；</w:t>
      </w:r>
    </w:p>
    <w:p>
      <w:pPr>
        <w:keepNext w:val="0"/>
        <w:keepLines w:val="0"/>
        <w:pageBreakBefore w:val="0"/>
        <w:numPr>
          <w:ilvl w:val="0"/>
          <w:numId w:val="5"/>
        </w:numPr>
        <w:kinsoku/>
        <w:wordWrap/>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售后响应要求：各阶段的报批、报建以及配合施工图纸设计、图审和工程建设过程中配合招标人解决现场设计遗漏、施工存在难度问题等配合工作；</w:t>
      </w:r>
    </w:p>
    <w:p>
      <w:pPr>
        <w:keepNext w:val="0"/>
        <w:keepLines w:val="0"/>
        <w:pageBreakBefore w:val="0"/>
        <w:numPr>
          <w:ilvl w:val="0"/>
          <w:numId w:val="5"/>
        </w:numPr>
        <w:kinsoku/>
        <w:wordWrap/>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成交方式：初步设计文件审查通过、本项目EPC采购完成、取得工程规划许可证；</w:t>
      </w:r>
    </w:p>
    <w:p>
      <w:pPr>
        <w:keepNext w:val="0"/>
        <w:keepLines w:val="0"/>
        <w:pageBreakBefore w:val="0"/>
        <w:numPr>
          <w:ilvl w:val="0"/>
          <w:numId w:val="5"/>
        </w:numPr>
        <w:kinsoku/>
        <w:wordWrap/>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服务期限：合同签订之日至工程竣工验收合格；</w:t>
      </w:r>
    </w:p>
    <w:p>
      <w:pPr>
        <w:keepNext w:val="0"/>
        <w:keepLines w:val="0"/>
        <w:pageBreakBefore w:val="0"/>
        <w:numPr>
          <w:ilvl w:val="0"/>
          <w:numId w:val="5"/>
        </w:numPr>
        <w:kinsoku/>
        <w:wordWrap/>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取费标准：按《工程勘察设计收费标准》-2002年修订本取费</w:t>
      </w:r>
      <w:r>
        <w:rPr>
          <w:rFonts w:hint="eastAsia" w:ascii="宋体" w:hAnsi="宋体" w:cs="宋体"/>
          <w:color w:val="auto"/>
          <w:sz w:val="21"/>
          <w:szCs w:val="21"/>
          <w:lang w:eastAsia="zh-CN"/>
        </w:rPr>
        <w:t>；</w:t>
      </w:r>
    </w:p>
    <w:p>
      <w:pPr>
        <w:keepNext w:val="0"/>
        <w:keepLines w:val="0"/>
        <w:pageBreakBefore w:val="0"/>
        <w:numPr>
          <w:ilvl w:val="0"/>
          <w:numId w:val="5"/>
        </w:numPr>
        <w:kinsoku/>
        <w:wordWrap/>
        <w:topLinePunct w:val="0"/>
        <w:autoSpaceDE/>
        <w:autoSpaceDN/>
        <w:bidi w:val="0"/>
        <w:adjustRightInd/>
        <w:snapToGrid/>
        <w:spacing w:line="360" w:lineRule="auto"/>
        <w:ind w:left="0" w:leftChars="0" w:firstLine="420" w:firstLineChars="200"/>
        <w:jc w:val="left"/>
        <w:textAlignment w:val="auto"/>
        <w:rPr>
          <w:rFonts w:ascii="宋体" w:hAnsi="宋体" w:cs="宋体"/>
          <w:b w:val="0"/>
          <w:bCs w:val="0"/>
          <w:color w:val="auto"/>
          <w:sz w:val="21"/>
          <w:szCs w:val="21"/>
        </w:rPr>
      </w:pPr>
      <w:r>
        <w:rPr>
          <w:rFonts w:hint="eastAsia" w:ascii="宋体" w:hAnsi="宋体" w:cs="宋体"/>
          <w:b w:val="0"/>
          <w:bCs w:val="0"/>
          <w:color w:val="auto"/>
          <w:sz w:val="21"/>
          <w:szCs w:val="21"/>
        </w:rPr>
        <w:t>付款方式：合同签订后支付合同总额的20%，初步设计文件通过政府主管部门评审且取得批复、本项目EPC采购完成后支付合同总额的40%，施工图设计文件审查通过、取得工程规划许可证后支付合同总额的30%，工程竣工验收合格后支付合同总额的10%</w:t>
      </w:r>
      <w:r>
        <w:rPr>
          <w:rFonts w:hint="eastAsia" w:ascii="宋体" w:hAnsi="宋体" w:cs="宋体"/>
          <w:b w:val="0"/>
          <w:bCs w:val="0"/>
          <w:color w:val="auto"/>
          <w:sz w:val="21"/>
          <w:szCs w:val="21"/>
          <w:lang w:eastAsia="zh-CN"/>
        </w:rPr>
        <w:t>；</w:t>
      </w:r>
    </w:p>
    <w:bookmarkEnd w:id="2"/>
    <w:p>
      <w:pPr>
        <w:keepNext w:val="0"/>
        <w:keepLines w:val="0"/>
        <w:pageBreakBefore w:val="0"/>
        <w:numPr>
          <w:ilvl w:val="0"/>
          <w:numId w:val="5"/>
        </w:numPr>
        <w:kinsoku/>
        <w:wordWrap/>
        <w:topLinePunct w:val="0"/>
        <w:autoSpaceDE/>
        <w:autoSpaceDN/>
        <w:bidi w:val="0"/>
        <w:adjustRightInd/>
        <w:snapToGrid/>
        <w:spacing w:line="360" w:lineRule="auto"/>
        <w:ind w:left="0" w:leftChars="0" w:firstLine="420" w:firstLineChars="200"/>
        <w:jc w:val="left"/>
        <w:textAlignment w:val="auto"/>
        <w:rPr>
          <w:rFonts w:ascii="宋体" w:hAnsi="宋体" w:cs="宋体"/>
          <w:b w:val="0"/>
          <w:bCs w:val="0"/>
          <w:color w:val="auto"/>
          <w:sz w:val="21"/>
          <w:szCs w:val="21"/>
        </w:rPr>
      </w:pPr>
      <w:bookmarkStart w:id="3" w:name="_Toc10581"/>
      <w:r>
        <w:rPr>
          <w:rFonts w:hint="eastAsia" w:ascii="宋体" w:hAnsi="宋体" w:cs="宋体"/>
          <w:b w:val="0"/>
          <w:bCs w:val="0"/>
          <w:color w:val="auto"/>
          <w:sz w:val="21"/>
          <w:szCs w:val="21"/>
        </w:rPr>
        <w:t>报价要求</w:t>
      </w:r>
      <w:bookmarkEnd w:id="3"/>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 w:val="21"/>
          <w:szCs w:val="21"/>
        </w:rPr>
      </w:pPr>
      <w:bookmarkStart w:id="4" w:name="_Toc14738"/>
      <w:r>
        <w:rPr>
          <w:rFonts w:hint="eastAsia" w:ascii="宋体" w:hAnsi="宋体" w:cs="宋体"/>
          <w:color w:val="auto"/>
          <w:sz w:val="21"/>
          <w:szCs w:val="21"/>
        </w:rPr>
        <w:t>所有报价以人民币报价，投标人需按招标文件中的要求填写报价及其它事项，并由法人代表或授权代表签署（若为授权代表签署，需要提供法人代表签署的授权书并加盖公章）</w:t>
      </w:r>
      <w:bookmarkEnd w:id="4"/>
      <w:bookmarkStart w:id="5" w:name="_Toc446572872"/>
      <w:bookmarkStart w:id="6" w:name="_Toc6188"/>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 w:val="21"/>
          <w:szCs w:val="21"/>
        </w:rPr>
      </w:pPr>
      <w:r>
        <w:rPr>
          <w:rFonts w:hint="eastAsia" w:ascii="宋体" w:hAnsi="宋体" w:cs="宋体"/>
          <w:color w:val="auto"/>
          <w:sz w:val="21"/>
          <w:szCs w:val="21"/>
        </w:rPr>
        <w:t>投标人报价应为完成本次采购范围内全部内容的所有费用。投标人对报价的准确性负责，任何漏报、错报等均是投标人的风险。</w:t>
      </w:r>
      <w:bookmarkEnd w:id="5"/>
      <w:bookmarkEnd w:id="6"/>
      <w:bookmarkStart w:id="7" w:name="_Toc446572873"/>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 w:val="21"/>
          <w:szCs w:val="21"/>
        </w:rPr>
      </w:pPr>
      <w:r>
        <w:rPr>
          <w:rFonts w:hint="eastAsia" w:ascii="宋体" w:hAnsi="宋体" w:cs="宋体"/>
          <w:color w:val="auto"/>
          <w:sz w:val="21"/>
          <w:szCs w:val="21"/>
        </w:rPr>
        <w:t>投标人的报价在合同执行过程中是固定不变的，投标人应充分考虑各类市场风险和国家政策性调整风险系数，并计入总报价。投标人不得以任何理由在合同执行期间予以价格调整。</w:t>
      </w:r>
      <w:bookmarkEnd w:id="7"/>
    </w:p>
    <w:p>
      <w:pPr>
        <w:keepNext w:val="0"/>
        <w:keepLines w:val="0"/>
        <w:pageBreakBefore w:val="0"/>
        <w:numPr>
          <w:ilvl w:val="0"/>
          <w:numId w:val="5"/>
        </w:numPr>
        <w:kinsoku/>
        <w:wordWrap/>
        <w:topLinePunct w:val="0"/>
        <w:autoSpaceDE/>
        <w:autoSpaceDN/>
        <w:bidi w:val="0"/>
        <w:adjustRightInd/>
        <w:snapToGrid/>
        <w:spacing w:line="360" w:lineRule="auto"/>
        <w:ind w:left="0" w:leftChars="0" w:firstLine="420" w:firstLineChars="200"/>
        <w:jc w:val="left"/>
        <w:textAlignment w:val="auto"/>
        <w:rPr>
          <w:rFonts w:ascii="宋体" w:hAnsi="宋体" w:cs="宋体"/>
          <w:b w:val="0"/>
          <w:bCs w:val="0"/>
          <w:color w:val="auto"/>
          <w:sz w:val="21"/>
          <w:szCs w:val="21"/>
        </w:rPr>
      </w:pPr>
      <w:bookmarkStart w:id="8" w:name="_Toc30890"/>
      <w:bookmarkStart w:id="9" w:name="_Toc3332"/>
      <w:r>
        <w:rPr>
          <w:rFonts w:hint="eastAsia" w:ascii="宋体" w:hAnsi="宋体" w:cs="宋体"/>
          <w:b w:val="0"/>
          <w:bCs w:val="0"/>
          <w:color w:val="auto"/>
          <w:sz w:val="21"/>
          <w:szCs w:val="21"/>
        </w:rPr>
        <w:t>验收</w:t>
      </w:r>
      <w:bookmarkEnd w:id="8"/>
      <w:bookmarkEnd w:id="9"/>
    </w:p>
    <w:p>
      <w:pPr>
        <w:keepNext w:val="0"/>
        <w:keepLines w:val="0"/>
        <w:pageBreakBefore w:val="0"/>
        <w:kinsoku/>
        <w:wordWrap/>
        <w:topLinePunct w:val="0"/>
        <w:autoSpaceDE/>
        <w:autoSpaceDN/>
        <w:bidi w:val="0"/>
        <w:adjustRightInd/>
        <w:snapToGrid/>
        <w:spacing w:line="360" w:lineRule="auto"/>
        <w:ind w:firstLine="420" w:firstLineChars="200"/>
        <w:textAlignment w:val="auto"/>
        <w:rPr>
          <w:rFonts w:hint="eastAsia" w:ascii="宋体" w:hAnsi="宋体" w:cs="宋体"/>
          <w:bCs/>
          <w:color w:val="auto"/>
          <w:sz w:val="21"/>
          <w:szCs w:val="21"/>
        </w:rPr>
      </w:pPr>
      <w:r>
        <w:rPr>
          <w:rFonts w:hint="eastAsia" w:ascii="宋体" w:hAnsi="宋体" w:cs="宋体"/>
          <w:bCs/>
          <w:color w:val="auto"/>
          <w:sz w:val="21"/>
          <w:szCs w:val="21"/>
        </w:rPr>
        <w:t>采购人将组织相关人员对采购项目进行验收，验收意见作为验收书的参考资料存档备查，验收将严格按照招标文件的规定和投标文件的响应及承诺执行，验收不合格的将根据合同有关条款进行处理。投标人可在售后服务方案中自行填报验收方案、处罚措施及承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C57280"/>
    <w:multiLevelType w:val="singleLevel"/>
    <w:tmpl w:val="C7C57280"/>
    <w:lvl w:ilvl="0" w:tentative="0">
      <w:start w:val="1"/>
      <w:numFmt w:val="decimal"/>
      <w:lvlText w:val="%1."/>
      <w:lvlJc w:val="left"/>
      <w:pPr>
        <w:ind w:left="425" w:hanging="425"/>
      </w:pPr>
      <w:rPr>
        <w:rFonts w:hint="default"/>
      </w:rPr>
    </w:lvl>
  </w:abstractNum>
  <w:abstractNum w:abstractNumId="1">
    <w:nsid w:val="DBEBA05F"/>
    <w:multiLevelType w:val="singleLevel"/>
    <w:tmpl w:val="DBEBA05F"/>
    <w:lvl w:ilvl="0" w:tentative="0">
      <w:start w:val="1"/>
      <w:numFmt w:val="chineseCounting"/>
      <w:suff w:val="nothing"/>
      <w:lvlText w:val="%1、"/>
      <w:lvlJc w:val="left"/>
      <w:pPr>
        <w:ind w:left="0" w:firstLine="420"/>
      </w:pPr>
      <w:rPr>
        <w:rFonts w:hint="eastAsia"/>
      </w:rPr>
    </w:lvl>
  </w:abstractNum>
  <w:abstractNum w:abstractNumId="2">
    <w:nsid w:val="0DC31774"/>
    <w:multiLevelType w:val="singleLevel"/>
    <w:tmpl w:val="0DC31774"/>
    <w:lvl w:ilvl="0" w:tentative="0">
      <w:start w:val="1"/>
      <w:numFmt w:val="decimal"/>
      <w:lvlText w:val="%1."/>
      <w:lvlJc w:val="left"/>
      <w:pPr>
        <w:ind w:left="425" w:hanging="425"/>
      </w:pPr>
      <w:rPr>
        <w:rFonts w:hint="default"/>
      </w:rPr>
    </w:lvl>
  </w:abstractNum>
  <w:abstractNum w:abstractNumId="3">
    <w:nsid w:val="15B92BE8"/>
    <w:multiLevelType w:val="singleLevel"/>
    <w:tmpl w:val="15B92BE8"/>
    <w:lvl w:ilvl="0" w:tentative="0">
      <w:start w:val="1"/>
      <w:numFmt w:val="chineseCounting"/>
      <w:suff w:val="nothing"/>
      <w:lvlText w:val="（%1）"/>
      <w:lvlJc w:val="left"/>
      <w:pPr>
        <w:ind w:left="0" w:firstLine="420"/>
      </w:pPr>
      <w:rPr>
        <w:rFonts w:hint="eastAsia"/>
      </w:rPr>
    </w:lvl>
  </w:abstractNum>
  <w:abstractNum w:abstractNumId="4">
    <w:nsid w:val="2F9BED3D"/>
    <w:multiLevelType w:val="singleLevel"/>
    <w:tmpl w:val="2F9BED3D"/>
    <w:lvl w:ilvl="0" w:tentative="0">
      <w:start w:val="1"/>
      <w:numFmt w:val="chineseCounting"/>
      <w:suff w:val="nothing"/>
      <w:lvlText w:val="（%1）"/>
      <w:lvlJc w:val="left"/>
      <w:pPr>
        <w:ind w:left="0" w:firstLine="420"/>
      </w:pPr>
      <w:rPr>
        <w:rFonts w:hint="eastAsia"/>
      </w:rPr>
    </w:lvl>
  </w:abstractNum>
  <w:abstractNum w:abstractNumId="5">
    <w:nsid w:val="59473D59"/>
    <w:multiLevelType w:val="singleLevel"/>
    <w:tmpl w:val="59473D59"/>
    <w:lvl w:ilvl="0" w:tentative="0">
      <w:start w:val="1"/>
      <w:numFmt w:val="chineseCounting"/>
      <w:suff w:val="nothing"/>
      <w:lvlText w:val="（%1）"/>
      <w:lvlJc w:val="left"/>
      <w:pPr>
        <w:ind w:left="0" w:firstLine="420"/>
      </w:pPr>
      <w:rPr>
        <w:rFonts w:hint="eastAsia"/>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26E05"/>
    <w:rsid w:val="4BE26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2021-02-09T12:39:00Z</dcterms:created>
  <dc:creator>程浩</dc:creator>
  <cp:lastModifiedBy>程浩</cp:lastModifiedBy>
  <dcterms:modified xsi:type="dcterms:W3CDTF">2021-02-09T12:40:14Z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